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932" w:rsidRDefault="00612C27">
      <w:pPr>
        <w:spacing w:after="227" w:line="237" w:lineRule="auto"/>
        <w:ind w:left="0" w:right="16" w:firstLine="0"/>
        <w:jc w:val="center"/>
      </w:pPr>
      <w:r>
        <w:rPr>
          <w:sz w:val="41"/>
        </w:rPr>
        <w:t>Rentabilité de l’investissement éducatif des micro</w:t>
      </w:r>
      <w:r w:rsidR="00E054AC">
        <w:rPr>
          <w:sz w:val="41"/>
        </w:rPr>
        <w:t>-</w:t>
      </w:r>
      <w:bookmarkStart w:id="0" w:name="_GoBack"/>
      <w:bookmarkEnd w:id="0"/>
      <w:r>
        <w:rPr>
          <w:sz w:val="41"/>
        </w:rPr>
        <w:t>entrepreneurs en République Démocratique du Congo (RDC)</w:t>
      </w:r>
    </w:p>
    <w:p w:rsidR="00615932" w:rsidRPr="00E054AC" w:rsidRDefault="00612C27">
      <w:pPr>
        <w:spacing w:after="242" w:line="259" w:lineRule="auto"/>
        <w:ind w:left="0" w:right="265" w:firstLine="0"/>
        <w:jc w:val="center"/>
        <w:rPr>
          <w:lang w:val="en-US"/>
        </w:rPr>
      </w:pPr>
      <w:r w:rsidRPr="00E054AC">
        <w:rPr>
          <w:sz w:val="29"/>
          <w:lang w:val="en-US"/>
        </w:rPr>
        <w:t>Bahati B. Mponjo</w:t>
      </w:r>
      <w:r w:rsidRPr="00E054AC">
        <w:rPr>
          <w:sz w:val="29"/>
          <w:vertAlign w:val="superscript"/>
          <w:lang w:val="en-US"/>
        </w:rPr>
        <w:t>1</w:t>
      </w:r>
      <w:r w:rsidRPr="00E054AC">
        <w:rPr>
          <w:sz w:val="29"/>
          <w:lang w:val="en-US"/>
        </w:rPr>
        <w:t>, Mumbere E. Lubula</w:t>
      </w:r>
      <w:r w:rsidRPr="00E054AC">
        <w:rPr>
          <w:sz w:val="29"/>
          <w:vertAlign w:val="superscript"/>
          <w:lang w:val="en-US"/>
        </w:rPr>
        <w:t>2</w:t>
      </w:r>
      <w:r w:rsidRPr="00E054AC">
        <w:rPr>
          <w:sz w:val="29"/>
          <w:lang w:val="en-US"/>
        </w:rPr>
        <w:t>, Kamala C. Kaghoma</w:t>
      </w:r>
      <w:r>
        <w:rPr>
          <w:rFonts w:ascii="Cambria" w:eastAsia="Cambria" w:hAnsi="Cambria" w:cs="Cambria"/>
          <w:sz w:val="29"/>
          <w:vertAlign w:val="superscript"/>
        </w:rPr>
        <w:footnoteReference w:id="1"/>
      </w:r>
      <w:r w:rsidRPr="00E054AC">
        <w:rPr>
          <w:sz w:val="29"/>
          <w:vertAlign w:val="superscript"/>
          <w:lang w:val="en-US"/>
        </w:rPr>
        <w:t>2</w:t>
      </w:r>
    </w:p>
    <w:p w:rsidR="00615932" w:rsidRPr="00E054AC" w:rsidRDefault="00612C27">
      <w:pPr>
        <w:spacing w:after="3" w:line="262" w:lineRule="auto"/>
        <w:ind w:left="1309" w:right="155"/>
        <w:rPr>
          <w:lang w:val="en-US"/>
        </w:rPr>
      </w:pPr>
      <w:r w:rsidRPr="00E054AC">
        <w:rPr>
          <w:sz w:val="20"/>
          <w:lang w:val="en-US"/>
        </w:rPr>
        <w:t>1</w:t>
      </w:r>
    </w:p>
    <w:p w:rsidR="00615932" w:rsidRPr="00E054AC" w:rsidRDefault="00612C27">
      <w:pPr>
        <w:spacing w:after="0" w:line="265" w:lineRule="auto"/>
        <w:jc w:val="center"/>
        <w:rPr>
          <w:lang w:val="en-US"/>
        </w:rPr>
      </w:pPr>
      <w:r w:rsidRPr="00E054AC">
        <w:rPr>
          <w:lang w:val="en-US"/>
        </w:rPr>
        <w:t>Center for Research in Social Science and Public Policy (CRSP2-DRC)</w:t>
      </w:r>
    </w:p>
    <w:p w:rsidR="00615932" w:rsidRDefault="00612C27">
      <w:pPr>
        <w:spacing w:after="1261" w:line="265" w:lineRule="auto"/>
        <w:ind w:right="255"/>
        <w:jc w:val="center"/>
      </w:pPr>
      <w:r>
        <w:rPr>
          <w:vertAlign w:val="superscript"/>
        </w:rPr>
        <w:t>2</w:t>
      </w:r>
      <w:r>
        <w:t>Université Catholique de Bukavu (UCB)</w:t>
      </w:r>
    </w:p>
    <w:p w:rsidR="00615932" w:rsidRDefault="00612C27">
      <w:pPr>
        <w:spacing w:after="118" w:line="259" w:lineRule="auto"/>
        <w:ind w:left="0" w:right="255" w:firstLine="0"/>
        <w:jc w:val="center"/>
      </w:pPr>
      <w:r>
        <w:t>Résumé</w:t>
      </w:r>
    </w:p>
    <w:p w:rsidR="00615932" w:rsidRDefault="00612C27">
      <w:pPr>
        <w:spacing w:after="243"/>
        <w:ind w:left="595" w:right="840"/>
      </w:pPr>
      <w:r>
        <w:t>Cette recherche mesure le taux de rentabilité de l’investissement éducatif des microentrepreneurs en RDC. A partir des données issues de l’enquête 1-2-3 de 2005 et de 2012, elle estime le taux de rentabilité à l</w:t>
      </w:r>
      <w:r>
        <w:t xml:space="preserve">’aide de l’équation de gain proposée par </w:t>
      </w:r>
      <w:r>
        <w:rPr>
          <w:color w:val="0000FF"/>
        </w:rPr>
        <w:t xml:space="preserve">Mincer </w:t>
      </w:r>
      <w:r>
        <w:t>(</w:t>
      </w:r>
      <w:r>
        <w:rPr>
          <w:color w:val="0000FF"/>
        </w:rPr>
        <w:t>1958</w:t>
      </w:r>
      <w:r>
        <w:t>). Tenant compte du biais d’endogénéité de l’éducation et de la sélection des unités d’analyse que sont les microentrepreneurs, elle fait d’une part recours à la méthode de variable instrumentale et, d’a</w:t>
      </w:r>
      <w:r>
        <w:t>utre part, calcule le ratio de Mills à travers une estimation en deux étapes. Les résultats obtenus indiquent que l’investissement éducatif des microentrepreneurs est rentable en RDC. Alors que les données de 2005 révèlent un taux de rentabilité de 3.2%, c</w:t>
      </w:r>
      <w:r>
        <w:t>elles de 2012 en relève un de 4.8% pour une année supplémentaire d’études. Cette eccroissement de la rentabilité entre 2005 et 2012 est perçu comme résultant de la stabilité politique et l’amélioration du climat des affaires que le pays a connu tout au lon</w:t>
      </w:r>
      <w:r>
        <w:t>g de cette période et qui a permis aux micrentreprneurs de mieux valoriser leur capital humain.La décomposition de la rentabilité par niveau d’éducation indique que, pour les microentrepreneurs, le niveau d’études secondaire est celui qui procure la plus f</w:t>
      </w:r>
      <w:r>
        <w:t>orte rentabilité, située à 6.7% contre 4.4% pour ceux de niveau primaire et 4.5% pour ceux à niveau d’instruction tertiaire.</w:t>
      </w:r>
    </w:p>
    <w:p w:rsidR="00615932" w:rsidRDefault="00612C27" w:rsidP="00E054AC">
      <w:pPr>
        <w:ind w:left="-5" w:right="2282"/>
      </w:pPr>
      <w:r w:rsidRPr="00E054AC">
        <w:rPr>
          <w:lang w:val="en-US"/>
        </w:rPr>
        <w:t xml:space="preserve">Keywords </w:t>
      </w:r>
      <w:r w:rsidRPr="00E054AC">
        <w:rPr>
          <w:lang w:val="en-US"/>
        </w:rPr>
        <w:t xml:space="preserve">: Education, youth employment, entrepreneurship, DR Congo </w:t>
      </w:r>
      <w:r w:rsidRPr="00E054AC">
        <w:rPr>
          <w:lang w:val="en-US"/>
        </w:rPr>
        <w:t xml:space="preserve">JEL Classification </w:t>
      </w:r>
      <w:r w:rsidRPr="00E054AC">
        <w:rPr>
          <w:lang w:val="en-US"/>
        </w:rPr>
        <w:t>: A20,M13,J41.</w:t>
      </w:r>
    </w:p>
    <w:p w:rsidR="00615932" w:rsidRDefault="00615932">
      <w:pPr>
        <w:spacing w:after="3" w:line="265" w:lineRule="auto"/>
        <w:ind w:left="4187" w:right="0"/>
        <w:jc w:val="left"/>
      </w:pPr>
    </w:p>
    <w:sectPr w:rsidR="00615932">
      <w:footerReference w:type="even" r:id="rId7"/>
      <w:footerReference w:type="default" r:id="rId8"/>
      <w:footerReference w:type="first" r:id="rId9"/>
      <w:pgSz w:w="11906" w:h="16838"/>
      <w:pgMar w:top="715"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C27" w:rsidRDefault="00612C27">
      <w:pPr>
        <w:spacing w:after="0" w:line="240" w:lineRule="auto"/>
      </w:pPr>
      <w:r>
        <w:separator/>
      </w:r>
    </w:p>
  </w:endnote>
  <w:endnote w:type="continuationSeparator" w:id="0">
    <w:p w:rsidR="00612C27" w:rsidRDefault="00612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32" w:rsidRDefault="00615932">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32" w:rsidRDefault="00615932">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32" w:rsidRDefault="00615932">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C27" w:rsidRDefault="00612C27">
      <w:pPr>
        <w:spacing w:after="0" w:line="259" w:lineRule="auto"/>
        <w:ind w:left="267" w:right="0" w:firstLine="0"/>
        <w:jc w:val="left"/>
      </w:pPr>
      <w:r>
        <w:separator/>
      </w:r>
    </w:p>
  </w:footnote>
  <w:footnote w:type="continuationSeparator" w:id="0">
    <w:p w:rsidR="00612C27" w:rsidRDefault="00612C27">
      <w:pPr>
        <w:spacing w:after="0" w:line="259" w:lineRule="auto"/>
        <w:ind w:left="267" w:right="0" w:firstLine="0"/>
        <w:jc w:val="left"/>
      </w:pPr>
      <w:r>
        <w:continuationSeparator/>
      </w:r>
    </w:p>
  </w:footnote>
  <w:footnote w:id="1">
    <w:p w:rsidR="00615932" w:rsidRPr="00E054AC" w:rsidRDefault="00612C27">
      <w:pPr>
        <w:pStyle w:val="footnotedescription"/>
        <w:ind w:left="267" w:firstLine="0"/>
        <w:jc w:val="left"/>
        <w:rPr>
          <w:lang w:val="en-US"/>
        </w:rPr>
      </w:pPr>
      <w:r>
        <w:rPr>
          <w:rStyle w:val="footnotemark"/>
        </w:rPr>
        <w:footnoteRef/>
      </w:r>
      <w:r w:rsidRPr="00E054AC">
        <w:rPr>
          <w:lang w:val="en-US"/>
        </w:rPr>
        <w:t xml:space="preserve"> Corresponding author :</w:t>
      </w:r>
      <w:r w:rsidRPr="00E054AC">
        <w:rPr>
          <w:color w:val="0000FF"/>
          <w:lang w:val="en-US"/>
        </w:rPr>
        <w:t>chriskkaghoma@yahoo.fr, kamala.kaghoma@ucbukavu.ac.cd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30ADB"/>
    <w:multiLevelType w:val="hybridMultilevel"/>
    <w:tmpl w:val="6C6CFE60"/>
    <w:lvl w:ilvl="0" w:tplc="2C0651EC">
      <w:start w:val="1"/>
      <w:numFmt w:val="decimal"/>
      <w:lvlText w:val="%1."/>
      <w:lvlJc w:val="left"/>
      <w:pPr>
        <w:ind w:left="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D2CF80">
      <w:start w:val="1"/>
      <w:numFmt w:val="lowerLetter"/>
      <w:lvlText w:val="%2"/>
      <w:lvlJc w:val="left"/>
      <w:pPr>
        <w:ind w:left="1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9008D6">
      <w:start w:val="1"/>
      <w:numFmt w:val="lowerRoman"/>
      <w:lvlText w:val="%3"/>
      <w:lvlJc w:val="left"/>
      <w:pPr>
        <w:ind w:left="2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58FCBC">
      <w:start w:val="1"/>
      <w:numFmt w:val="decimal"/>
      <w:lvlText w:val="%4"/>
      <w:lvlJc w:val="left"/>
      <w:pPr>
        <w:ind w:left="2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1EBFF2">
      <w:start w:val="1"/>
      <w:numFmt w:val="lowerLetter"/>
      <w:lvlText w:val="%5"/>
      <w:lvlJc w:val="left"/>
      <w:pPr>
        <w:ind w:left="3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9AF598">
      <w:start w:val="1"/>
      <w:numFmt w:val="lowerRoman"/>
      <w:lvlText w:val="%6"/>
      <w:lvlJc w:val="left"/>
      <w:pPr>
        <w:ind w:left="4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1CFA02">
      <w:start w:val="1"/>
      <w:numFmt w:val="decimal"/>
      <w:lvlText w:val="%7"/>
      <w:lvlJc w:val="left"/>
      <w:pPr>
        <w:ind w:left="4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1457E6">
      <w:start w:val="1"/>
      <w:numFmt w:val="lowerLetter"/>
      <w:lvlText w:val="%8"/>
      <w:lvlJc w:val="left"/>
      <w:pPr>
        <w:ind w:left="5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B2417C">
      <w:start w:val="1"/>
      <w:numFmt w:val="lowerRoman"/>
      <w:lvlText w:val="%9"/>
      <w:lvlJc w:val="left"/>
      <w:pPr>
        <w:ind w:left="6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BAD6781"/>
    <w:multiLevelType w:val="multilevel"/>
    <w:tmpl w:val="2D48A940"/>
    <w:lvl w:ilvl="0">
      <w:start w:val="1"/>
      <w:numFmt w:val="decimal"/>
      <w:pStyle w:val="Heading1"/>
      <w:lvlText w:val="%1"/>
      <w:lvlJc w:val="left"/>
      <w:pPr>
        <w:ind w:left="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start w:val="1"/>
      <w:numFmt w:val="decimal"/>
      <w:pStyle w:val="Heading2"/>
      <w:lvlText w:val="%1.%2"/>
      <w:lvlJc w:val="left"/>
      <w:pPr>
        <w:ind w:left="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2">
      <w:start w:val="1"/>
      <w:numFmt w:val="decimal"/>
      <w:pStyle w:val="Heading3"/>
      <w:lvlText w:val="%1.%2.%3"/>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932"/>
    <w:rsid w:val="00612C27"/>
    <w:rsid w:val="00615932"/>
    <w:rsid w:val="00E054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79E36"/>
  <w15:docId w15:val="{9A38A518-A88B-46CD-90AC-37EE80CB5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0" w:line="256" w:lineRule="auto"/>
      <w:ind w:left="10" w:right="146"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2"/>
      </w:numPr>
      <w:spacing w:after="163"/>
      <w:ind w:left="265" w:hanging="10"/>
      <w:outlineLvl w:val="0"/>
    </w:pPr>
    <w:rPr>
      <w:rFonts w:ascii="Calibri" w:eastAsia="Calibri" w:hAnsi="Calibri" w:cs="Calibri"/>
      <w:color w:val="000000"/>
      <w:sz w:val="34"/>
    </w:rPr>
  </w:style>
  <w:style w:type="paragraph" w:styleId="Heading2">
    <w:name w:val="heading 2"/>
    <w:next w:val="Normal"/>
    <w:link w:val="Heading2Char"/>
    <w:uiPriority w:val="9"/>
    <w:unhideWhenUsed/>
    <w:qFormat/>
    <w:pPr>
      <w:keepNext/>
      <w:keepLines/>
      <w:numPr>
        <w:ilvl w:val="1"/>
        <w:numId w:val="2"/>
      </w:numPr>
      <w:spacing w:after="163" w:line="257" w:lineRule="auto"/>
      <w:ind w:left="10" w:hanging="10"/>
      <w:outlineLvl w:val="1"/>
    </w:pPr>
    <w:rPr>
      <w:rFonts w:ascii="Calibri" w:eastAsia="Calibri" w:hAnsi="Calibri" w:cs="Calibri"/>
      <w:color w:val="000000"/>
      <w:sz w:val="29"/>
    </w:rPr>
  </w:style>
  <w:style w:type="paragraph" w:styleId="Heading3">
    <w:name w:val="heading 3"/>
    <w:next w:val="Normal"/>
    <w:link w:val="Heading3Char"/>
    <w:uiPriority w:val="9"/>
    <w:unhideWhenUsed/>
    <w:qFormat/>
    <w:pPr>
      <w:keepNext/>
      <w:keepLines/>
      <w:numPr>
        <w:ilvl w:val="2"/>
        <w:numId w:val="2"/>
      </w:numPr>
      <w:spacing w:after="222"/>
      <w:ind w:left="10" w:hanging="10"/>
      <w:outlineLvl w:val="2"/>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4"/>
    </w:rPr>
  </w:style>
  <w:style w:type="character" w:customStyle="1" w:styleId="Heading2Char">
    <w:name w:val="Heading 2 Char"/>
    <w:link w:val="Heading2"/>
    <w:rPr>
      <w:rFonts w:ascii="Calibri" w:eastAsia="Calibri" w:hAnsi="Calibri" w:cs="Calibri"/>
      <w:color w:val="000000"/>
      <w:sz w:val="29"/>
    </w:rPr>
  </w:style>
  <w:style w:type="paragraph" w:customStyle="1" w:styleId="footnotedescription">
    <w:name w:val="footnote description"/>
    <w:next w:val="Normal"/>
    <w:link w:val="footnotedescriptionChar"/>
    <w:hidden/>
    <w:pPr>
      <w:spacing w:after="0"/>
      <w:ind w:firstLine="251"/>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1Char">
    <w:name w:val="Heading 1 Char"/>
    <w:link w:val="Heading1"/>
    <w:rPr>
      <w:rFonts w:ascii="Calibri" w:eastAsia="Calibri" w:hAnsi="Calibri" w:cs="Calibri"/>
      <w:color w:val="000000"/>
      <w:sz w:val="3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cp:lastModifiedBy>Gabriel</cp:lastModifiedBy>
  <cp:revision>2</cp:revision>
  <dcterms:created xsi:type="dcterms:W3CDTF">2016-12-02T15:42:00Z</dcterms:created>
  <dcterms:modified xsi:type="dcterms:W3CDTF">2016-12-02T15:42:00Z</dcterms:modified>
</cp:coreProperties>
</file>