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454B" w14:textId="1C5C08C5" w:rsidR="00357F81" w:rsidRPr="00926B34" w:rsidRDefault="00DC679F" w:rsidP="005A7BCC">
      <w:pPr>
        <w:tabs>
          <w:tab w:val="left" w:pos="2859"/>
          <w:tab w:val="center" w:pos="4839"/>
        </w:tabs>
        <w:ind w:firstLine="0"/>
        <w:jc w:val="center"/>
        <w:rPr>
          <w:b/>
          <w:sz w:val="36"/>
          <w:lang w:val="en-US"/>
        </w:rPr>
      </w:pPr>
      <w:bookmarkStart w:id="0" w:name="_GoBack"/>
      <w:r>
        <w:rPr>
          <w:b/>
          <w:sz w:val="36"/>
          <w:lang w:val="en-US"/>
        </w:rPr>
        <w:t>T</w:t>
      </w:r>
      <w:r w:rsidR="000C3736" w:rsidRPr="00926B34">
        <w:rPr>
          <w:b/>
          <w:sz w:val="36"/>
          <w:lang w:val="en-US"/>
        </w:rPr>
        <w:t>he impact of</w:t>
      </w:r>
      <w:r w:rsidR="00C16379" w:rsidRPr="00926B34">
        <w:rPr>
          <w:b/>
          <w:sz w:val="36"/>
          <w:lang w:val="en-US"/>
        </w:rPr>
        <w:t xml:space="preserve"> support programs</w:t>
      </w:r>
      <w:r>
        <w:rPr>
          <w:b/>
          <w:sz w:val="36"/>
          <w:lang w:val="en-US"/>
        </w:rPr>
        <w:t xml:space="preserve"> for social inclusion of survivors of sexual violence</w:t>
      </w:r>
    </w:p>
    <w:p w14:paraId="52A53619" w14:textId="77777777" w:rsidR="000E2176" w:rsidRPr="00926B34" w:rsidRDefault="000F1A75" w:rsidP="001A6879">
      <w:pPr>
        <w:pStyle w:val="authors"/>
        <w:ind w:firstLine="0"/>
        <w:rPr>
          <w:i/>
          <w:sz w:val="28"/>
        </w:rPr>
      </w:pPr>
      <w:r w:rsidRPr="00926B34">
        <w:rPr>
          <w:i/>
          <w:sz w:val="28"/>
        </w:rPr>
        <w:t xml:space="preserve">Micro-level evidence from </w:t>
      </w:r>
      <w:r w:rsidR="00617FB2" w:rsidRPr="00926B34">
        <w:rPr>
          <w:i/>
          <w:sz w:val="28"/>
        </w:rPr>
        <w:t>Eastern DRC</w:t>
      </w:r>
    </w:p>
    <w:p w14:paraId="27192D7B" w14:textId="77777777" w:rsidR="00357F81" w:rsidRDefault="00357F81" w:rsidP="001A6879">
      <w:pPr>
        <w:pStyle w:val="authors"/>
        <w:ind w:firstLine="0"/>
        <w:rPr>
          <w:i/>
          <w:sz w:val="37"/>
          <w:szCs w:val="37"/>
          <w:lang w:val="en-GB"/>
        </w:rPr>
      </w:pPr>
    </w:p>
    <w:p w14:paraId="7598C9F2" w14:textId="1F063689" w:rsidR="00BF3796" w:rsidRDefault="00357F81" w:rsidP="00BF3796">
      <w:pPr>
        <w:jc w:val="center"/>
        <w:rPr>
          <w:sz w:val="28"/>
          <w:vertAlign w:val="superscript"/>
          <w:lang w:val="en-GB"/>
        </w:rPr>
      </w:pPr>
      <w:r w:rsidRPr="002D0BFE">
        <w:rPr>
          <w:sz w:val="28"/>
          <w:lang w:val="en-GB"/>
        </w:rPr>
        <w:t>Christin</w:t>
      </w:r>
      <w:r w:rsidR="000F7BD4">
        <w:rPr>
          <w:sz w:val="28"/>
          <w:lang w:val="en-GB"/>
        </w:rPr>
        <w:t>e</w:t>
      </w:r>
      <w:r w:rsidRPr="002D0BFE">
        <w:rPr>
          <w:sz w:val="28"/>
          <w:lang w:val="en-GB"/>
        </w:rPr>
        <w:t xml:space="preserve"> Amisi</w:t>
      </w:r>
      <w:r w:rsidR="0000283D" w:rsidRPr="0000283D">
        <w:rPr>
          <w:sz w:val="28"/>
          <w:vertAlign w:val="superscript"/>
          <w:lang w:val="en-GB"/>
        </w:rPr>
        <w:t>a</w:t>
      </w:r>
      <w:r w:rsidRPr="002D0BFE">
        <w:rPr>
          <w:sz w:val="28"/>
          <w:lang w:val="en-GB"/>
        </w:rPr>
        <w:t>, Rosalie Biaba</w:t>
      </w:r>
      <w:r w:rsidR="0000283D" w:rsidRPr="0000283D">
        <w:rPr>
          <w:sz w:val="28"/>
          <w:vertAlign w:val="superscript"/>
          <w:lang w:val="en-GB"/>
        </w:rPr>
        <w:t>a</w:t>
      </w:r>
      <w:r w:rsidRPr="002D0BFE">
        <w:rPr>
          <w:sz w:val="28"/>
          <w:lang w:val="en-GB"/>
        </w:rPr>
        <w:t xml:space="preserve">, </w:t>
      </w:r>
      <w:r w:rsidR="002D0BFE" w:rsidRPr="002D0BFE">
        <w:rPr>
          <w:sz w:val="28"/>
          <w:lang w:val="en-GB"/>
        </w:rPr>
        <w:t>A</w:t>
      </w:r>
      <w:r w:rsidR="002D0BFE">
        <w:rPr>
          <w:sz w:val="28"/>
          <w:lang w:val="en-GB"/>
        </w:rPr>
        <w:t>line Cikara</w:t>
      </w:r>
      <w:r w:rsidR="0000283D" w:rsidRPr="0000283D">
        <w:rPr>
          <w:sz w:val="28"/>
          <w:vertAlign w:val="superscript"/>
          <w:lang w:val="en-GB"/>
        </w:rPr>
        <w:t>a</w:t>
      </w:r>
      <w:r w:rsidR="002D0BFE">
        <w:rPr>
          <w:sz w:val="28"/>
          <w:lang w:val="en-GB"/>
        </w:rPr>
        <w:t xml:space="preserve">, </w:t>
      </w:r>
      <w:r w:rsidRPr="002D0BFE">
        <w:rPr>
          <w:sz w:val="28"/>
          <w:lang w:val="en-GB"/>
        </w:rPr>
        <w:t>Ragnh</w:t>
      </w:r>
      <w:r w:rsidR="00BF3796" w:rsidRPr="002D0BFE">
        <w:rPr>
          <w:sz w:val="28"/>
          <w:lang w:val="en-GB"/>
        </w:rPr>
        <w:t>ild Nordås</w:t>
      </w:r>
      <w:r w:rsidR="0000283D" w:rsidRPr="0000283D">
        <w:rPr>
          <w:sz w:val="28"/>
          <w:vertAlign w:val="superscript"/>
          <w:lang w:val="en-GB"/>
        </w:rPr>
        <w:t>b</w:t>
      </w:r>
      <w:r w:rsidR="00BF3796" w:rsidRPr="002D0BFE">
        <w:rPr>
          <w:sz w:val="28"/>
          <w:lang w:val="en-GB"/>
        </w:rPr>
        <w:t xml:space="preserve">, </w:t>
      </w:r>
      <w:r w:rsidR="00BA0B09" w:rsidRPr="002D0BFE">
        <w:rPr>
          <w:sz w:val="28"/>
          <w:lang w:val="en-GB"/>
        </w:rPr>
        <w:t>Gudrun Østby</w:t>
      </w:r>
      <w:r w:rsidR="00BA0B09" w:rsidRPr="0000283D">
        <w:rPr>
          <w:sz w:val="28"/>
          <w:vertAlign w:val="superscript"/>
          <w:lang w:val="en-GB"/>
        </w:rPr>
        <w:t>b</w:t>
      </w:r>
      <w:r w:rsidR="00CB7244">
        <w:rPr>
          <w:sz w:val="28"/>
          <w:lang w:val="en-GB"/>
        </w:rPr>
        <w:t>,</w:t>
      </w:r>
      <w:r w:rsidR="00BA0B09" w:rsidRPr="00CB7244">
        <w:rPr>
          <w:sz w:val="28"/>
          <w:vertAlign w:val="subscript"/>
          <w:lang w:val="en-GB"/>
        </w:rPr>
        <w:t xml:space="preserve"> </w:t>
      </w:r>
      <w:r w:rsidR="00BF3796" w:rsidRPr="002D0BFE">
        <w:rPr>
          <w:sz w:val="28"/>
          <w:lang w:val="en-GB"/>
        </w:rPr>
        <w:t xml:space="preserve">John </w:t>
      </w:r>
      <w:r w:rsidRPr="002D0BFE">
        <w:rPr>
          <w:sz w:val="28"/>
          <w:lang w:val="en-GB"/>
        </w:rPr>
        <w:t>Quattrochi</w:t>
      </w:r>
      <w:r w:rsidR="0000283D" w:rsidRPr="0000283D">
        <w:rPr>
          <w:sz w:val="28"/>
          <w:vertAlign w:val="superscript"/>
          <w:lang w:val="en-GB"/>
        </w:rPr>
        <w:t>a</w:t>
      </w:r>
      <w:r w:rsidRPr="002D0BFE">
        <w:rPr>
          <w:sz w:val="28"/>
          <w:lang w:val="en-GB"/>
        </w:rPr>
        <w:t>, &amp; Siri Aas Rustad</w:t>
      </w:r>
      <w:r w:rsidR="0000283D" w:rsidRPr="0000283D">
        <w:rPr>
          <w:sz w:val="28"/>
          <w:vertAlign w:val="superscript"/>
          <w:lang w:val="en-GB"/>
        </w:rPr>
        <w:t>b</w:t>
      </w:r>
      <w:r w:rsidR="0000283D">
        <w:rPr>
          <w:sz w:val="28"/>
          <w:vertAlign w:val="superscript"/>
          <w:lang w:val="en-GB"/>
        </w:rPr>
        <w:t xml:space="preserve"> </w:t>
      </w:r>
      <w:r w:rsidR="0000283D">
        <w:rPr>
          <w:rStyle w:val="FootnoteReference"/>
          <w:sz w:val="28"/>
          <w:lang w:val="en-GB"/>
        </w:rPr>
        <w:footnoteReference w:id="1"/>
      </w:r>
    </w:p>
    <w:p w14:paraId="4D2876B0" w14:textId="77777777" w:rsidR="0000283D" w:rsidRPr="002D0BFE" w:rsidRDefault="0000283D" w:rsidP="00BF3796">
      <w:pPr>
        <w:jc w:val="center"/>
        <w:rPr>
          <w:sz w:val="28"/>
          <w:lang w:val="en-GB"/>
        </w:rPr>
      </w:pPr>
    </w:p>
    <w:p w14:paraId="61591906" w14:textId="659CD872" w:rsidR="00BF3796" w:rsidRDefault="0000283D" w:rsidP="00BF3796">
      <w:pPr>
        <w:ind w:firstLine="0"/>
        <w:jc w:val="center"/>
        <w:rPr>
          <w:lang w:val="en-US"/>
        </w:rPr>
      </w:pPr>
      <w:r w:rsidRPr="0000283D">
        <w:rPr>
          <w:sz w:val="28"/>
          <w:vertAlign w:val="superscript"/>
          <w:lang w:val="en-US"/>
        </w:rPr>
        <w:t>a</w:t>
      </w:r>
      <w:r>
        <w:rPr>
          <w:sz w:val="28"/>
          <w:lang w:val="en-US"/>
        </w:rPr>
        <w:t xml:space="preserve"> </w:t>
      </w:r>
      <w:r>
        <w:rPr>
          <w:lang w:val="en-US"/>
        </w:rPr>
        <w:t>International Center for Advanced Research and Training (ICART), Bukavu, DRC</w:t>
      </w:r>
    </w:p>
    <w:p w14:paraId="245E1FA5" w14:textId="690F1EE8" w:rsidR="0000283D" w:rsidRDefault="0000283D" w:rsidP="00BF3796">
      <w:pPr>
        <w:ind w:firstLine="0"/>
        <w:jc w:val="center"/>
        <w:rPr>
          <w:sz w:val="28"/>
          <w:lang w:val="en-US"/>
        </w:rPr>
      </w:pPr>
      <w:r w:rsidRPr="0000283D">
        <w:rPr>
          <w:vertAlign w:val="superscript"/>
          <w:lang w:val="en-US"/>
        </w:rPr>
        <w:t>b</w:t>
      </w:r>
      <w:r>
        <w:rPr>
          <w:lang w:val="en-US"/>
        </w:rPr>
        <w:t xml:space="preserve"> Peace Research Institute Oslo (PRIO), Norway</w:t>
      </w:r>
    </w:p>
    <w:p w14:paraId="5ADB7113" w14:textId="77777777" w:rsidR="00C16379" w:rsidRPr="003D7F42" w:rsidRDefault="00C16379" w:rsidP="00357F81">
      <w:pPr>
        <w:jc w:val="center"/>
        <w:rPr>
          <w:lang w:val="en-US"/>
        </w:rPr>
      </w:pPr>
    </w:p>
    <w:p w14:paraId="2F8DD313" w14:textId="4F26A8C7" w:rsidR="00841E78" w:rsidRPr="00255219" w:rsidRDefault="00105CEA">
      <w:pPr>
        <w:ind w:firstLine="0"/>
        <w:rPr>
          <w:b/>
          <w:lang w:val="en-US"/>
        </w:rPr>
      </w:pPr>
      <w:r w:rsidRPr="00255219">
        <w:rPr>
          <w:b/>
          <w:lang w:val="en-US"/>
        </w:rPr>
        <w:t>Abstract</w:t>
      </w:r>
      <w:r w:rsidR="003753E5">
        <w:rPr>
          <w:b/>
          <w:lang w:val="en-US"/>
        </w:rPr>
        <w:t xml:space="preserve"> </w:t>
      </w:r>
    </w:p>
    <w:p w14:paraId="05719A28" w14:textId="6B0085CE" w:rsidR="000B0644" w:rsidRPr="00B879D1" w:rsidRDefault="000B0644" w:rsidP="000B0644">
      <w:pPr>
        <w:pStyle w:val="abstract"/>
      </w:pPr>
      <w:r>
        <w:t xml:space="preserve">Sexual </w:t>
      </w:r>
      <w:r w:rsidRPr="002F53B8">
        <w:t>violence</w:t>
      </w:r>
      <w:r>
        <w:t xml:space="preserve"> </w:t>
      </w:r>
      <w:r w:rsidRPr="002F53B8">
        <w:t>constitute</w:t>
      </w:r>
      <w:r>
        <w:t>s</w:t>
      </w:r>
      <w:r w:rsidRPr="002F53B8">
        <w:t xml:space="preserve"> a massive challenge</w:t>
      </w:r>
      <w:r>
        <w:t xml:space="preserve"> in t</w:t>
      </w:r>
      <w:r w:rsidRPr="002F53B8">
        <w:t xml:space="preserve">he </w:t>
      </w:r>
      <w:r>
        <w:t>eastern Democratic Republic of the Congo</w:t>
      </w:r>
      <w:r w:rsidRPr="002F53B8">
        <w:t xml:space="preserve"> (DRC)</w:t>
      </w:r>
      <w:r w:rsidR="004F7DBE">
        <w:t xml:space="preserve">, and </w:t>
      </w:r>
      <w:r w:rsidRPr="001F44C0">
        <w:t xml:space="preserve">many </w:t>
      </w:r>
      <w:r>
        <w:t xml:space="preserve">survivors of sexual violence </w:t>
      </w:r>
      <w:r w:rsidR="004F7DBE">
        <w:t xml:space="preserve">report </w:t>
      </w:r>
      <w:r>
        <w:t>fac</w:t>
      </w:r>
      <w:r w:rsidR="004F7DBE">
        <w:t>ing</w:t>
      </w:r>
      <w:r>
        <w:t xml:space="preserve"> marginaliz</w:t>
      </w:r>
      <w:r w:rsidRPr="006A0C9B">
        <w:t>ation and social</w:t>
      </w:r>
      <w:r>
        <w:t xml:space="preserve"> </w:t>
      </w:r>
      <w:r w:rsidRPr="006A0C9B">
        <w:t>exclusion</w:t>
      </w:r>
      <w:r>
        <w:t xml:space="preserve"> among family members and in their local communities</w:t>
      </w:r>
      <w:r w:rsidRPr="006A0C9B">
        <w:t xml:space="preserve">. </w:t>
      </w:r>
      <w:r>
        <w:t xml:space="preserve">A number of support </w:t>
      </w:r>
      <w:r w:rsidRPr="0035603F">
        <w:t>programs are in place to support survivors of sexual violence</w:t>
      </w:r>
      <w:r>
        <w:t>, but the impacts of such programs are rarely systematically assessed</w:t>
      </w:r>
      <w:r w:rsidRPr="0035603F">
        <w:t>.</w:t>
      </w:r>
      <w:r>
        <w:t xml:space="preserve"> We therefore ask:</w:t>
      </w:r>
      <w:r w:rsidRPr="0035603F">
        <w:t xml:space="preserve"> </w:t>
      </w:r>
      <w:r w:rsidR="00601F72">
        <w:t>What are the feelings of</w:t>
      </w:r>
      <w:r>
        <w:t xml:space="preserve"> social exclusion among survivors of </w:t>
      </w:r>
      <w:r w:rsidR="00DC679F">
        <w:t>sexual and gender-based violence (SGBV)</w:t>
      </w:r>
      <w:r>
        <w:t xml:space="preserve">, and what </w:t>
      </w:r>
      <w:r w:rsidR="000F7BD4">
        <w:t xml:space="preserve">are </w:t>
      </w:r>
      <w:r>
        <w:t>the effect</w:t>
      </w:r>
      <w:r w:rsidR="000F7BD4">
        <w:t>s</w:t>
      </w:r>
      <w:r>
        <w:t xml:space="preserve"> of support programs</w:t>
      </w:r>
      <w:r w:rsidR="00601F72">
        <w:t xml:space="preserve"> on </w:t>
      </w:r>
      <w:r w:rsidR="000F7BD4">
        <w:t xml:space="preserve">the </w:t>
      </w:r>
      <w:r w:rsidR="00601F72">
        <w:t xml:space="preserve">sense of </w:t>
      </w:r>
      <w:r w:rsidR="000F7BD4">
        <w:t xml:space="preserve">social </w:t>
      </w:r>
      <w:r w:rsidR="00601F72">
        <w:t>exclusion and economic wellbeing</w:t>
      </w:r>
      <w:r>
        <w:t>?</w:t>
      </w:r>
      <w:r w:rsidR="00601F72">
        <w:t xml:space="preserve"> To answer this, w</w:t>
      </w:r>
      <w:r>
        <w:t xml:space="preserve">e </w:t>
      </w:r>
      <w:r w:rsidR="004F7DBE">
        <w:t>we have</w:t>
      </w:r>
      <w:r>
        <w:t xml:space="preserve"> collected survey data on </w:t>
      </w:r>
      <w:r w:rsidRPr="004F7DBE">
        <w:t>1,</w:t>
      </w:r>
      <w:r w:rsidR="00ED37B9" w:rsidRPr="004F7DBE">
        <w:t xml:space="preserve">203 </w:t>
      </w:r>
      <w:r w:rsidRPr="004F7DBE">
        <w:t>women aged 15-87 in</w:t>
      </w:r>
      <w:r>
        <w:t xml:space="preserve"> South Kivu of which about one third are survivors of SGBV</w:t>
      </w:r>
      <w:r w:rsidR="00601F72">
        <w:t>, and about 80% of the full sample have been beneficiaries of a support program</w:t>
      </w:r>
      <w:r w:rsidRPr="0033134D">
        <w:t>.</w:t>
      </w:r>
      <w:r w:rsidR="004F7DBE">
        <w:t xml:space="preserve"> Results based on matching analysis indicate</w:t>
      </w:r>
      <w:r w:rsidRPr="0033134D">
        <w:t xml:space="preserve"> that</w:t>
      </w:r>
      <w:r w:rsidR="004F7DBE">
        <w:t>,</w:t>
      </w:r>
      <w:r w:rsidRPr="0033134D">
        <w:t xml:space="preserve"> </w:t>
      </w:r>
      <w:r w:rsidR="00DC679F">
        <w:t xml:space="preserve">in general, </w:t>
      </w:r>
      <w:r w:rsidRPr="0033134D">
        <w:t xml:space="preserve">survivors of sexual violence feel less included </w:t>
      </w:r>
      <w:r w:rsidR="00DC679F">
        <w:t xml:space="preserve">across various social settings </w:t>
      </w:r>
      <w:r w:rsidRPr="0033134D">
        <w:t>than non-survivors.</w:t>
      </w:r>
      <w:r w:rsidR="00DC679F">
        <w:t xml:space="preserve"> </w:t>
      </w:r>
      <w:r w:rsidR="004F7DBE">
        <w:t xml:space="preserve">We also find that </w:t>
      </w:r>
      <w:r w:rsidR="004F7DBE" w:rsidRPr="00C8442E">
        <w:t>support programs significantly improve women’s economic wellbeing (be it survivors or non-survivors) although the programs seem to be particularly beneficial for survivors in this respect. The programs studied also seem increase the beneficiaries´ perceived level of social inclusion, but the effect appears to be somewhat weaker for survivors than for non-survivors. Hence, there is potential for improvement as regards how the programs work actively to integrate survivors of sexual violence in the community</w:t>
      </w:r>
      <w:r w:rsidR="003045C8" w:rsidRPr="00C8442E">
        <w:t>, and how communities welcome sexual violence survivors</w:t>
      </w:r>
      <w:r w:rsidR="004F7DBE" w:rsidRPr="00C8442E">
        <w:t xml:space="preserve">. </w:t>
      </w:r>
    </w:p>
    <w:bookmarkEnd w:id="0"/>
    <w:p w14:paraId="4DBEEBDC" w14:textId="77777777" w:rsidR="000B0644" w:rsidRDefault="000B0644">
      <w:pPr>
        <w:pStyle w:val="abstract"/>
      </w:pPr>
    </w:p>
    <w:p w14:paraId="3437D2F1" w14:textId="5CA42511" w:rsidR="000B0644" w:rsidRPr="00926B34" w:rsidRDefault="000B0644">
      <w:pPr>
        <w:pStyle w:val="abstract"/>
        <w:rPr>
          <w:b/>
        </w:rPr>
      </w:pPr>
      <w:r w:rsidRPr="00926B34">
        <w:rPr>
          <w:b/>
        </w:rPr>
        <w:t>Keywords</w:t>
      </w:r>
    </w:p>
    <w:p w14:paraId="32D1C32A" w14:textId="77777777" w:rsidR="0000283D" w:rsidRDefault="0000283D">
      <w:pPr>
        <w:pStyle w:val="abstract"/>
      </w:pPr>
    </w:p>
    <w:p w14:paraId="3438FC8C" w14:textId="2C1912A0" w:rsidR="0000283D" w:rsidRDefault="000B0644">
      <w:pPr>
        <w:pStyle w:val="abstract"/>
      </w:pPr>
      <w:r>
        <w:t xml:space="preserve">Sexual violence, </w:t>
      </w:r>
      <w:r w:rsidR="00DC679F">
        <w:t xml:space="preserve">SGBV, </w:t>
      </w:r>
      <w:r>
        <w:t xml:space="preserve">social exclusion, support programs, </w:t>
      </w:r>
      <w:r w:rsidR="00DC679F">
        <w:t>DRC, South Kivu</w:t>
      </w:r>
    </w:p>
    <w:p w14:paraId="42C31B07" w14:textId="77777777" w:rsidR="0030413D" w:rsidRDefault="0030413D">
      <w:pPr>
        <w:pStyle w:val="abstract"/>
      </w:pPr>
    </w:p>
    <w:p w14:paraId="4A26BE5F" w14:textId="77777777" w:rsidR="00017059" w:rsidRDefault="00017059" w:rsidP="00017059">
      <w:pPr>
        <w:pStyle w:val="abstract"/>
      </w:pPr>
    </w:p>
    <w:p w14:paraId="4B621455" w14:textId="77777777" w:rsidR="00017059" w:rsidRDefault="00017059" w:rsidP="00017059">
      <w:pPr>
        <w:pStyle w:val="abstract"/>
      </w:pPr>
    </w:p>
    <w:p w14:paraId="0CB2E835" w14:textId="77777777" w:rsidR="00017059" w:rsidRPr="00017059" w:rsidRDefault="00017059" w:rsidP="00017059">
      <w:pPr>
        <w:pStyle w:val="abstract"/>
        <w:rPr>
          <w:sz w:val="28"/>
        </w:rPr>
      </w:pPr>
    </w:p>
    <w:p w14:paraId="27ED0006" w14:textId="77777777" w:rsidR="00017059" w:rsidRPr="00017059" w:rsidRDefault="00017059" w:rsidP="00017059">
      <w:pPr>
        <w:pStyle w:val="abstract"/>
        <w:rPr>
          <w:sz w:val="28"/>
        </w:rPr>
      </w:pPr>
      <w:r w:rsidRPr="00017059">
        <w:rPr>
          <w:sz w:val="28"/>
        </w:rPr>
        <w:t>Paper prepared for presentation at the conference “Transition and local development in Eastern DRC”,  8–10 December 2016, Bukavu</w:t>
      </w:r>
    </w:p>
    <w:p w14:paraId="452E00CE" w14:textId="77777777" w:rsidR="00DC679F" w:rsidRPr="00017059" w:rsidRDefault="00DC679F">
      <w:pPr>
        <w:spacing w:line="240" w:lineRule="auto"/>
        <w:ind w:firstLine="0"/>
        <w:jc w:val="left"/>
        <w:rPr>
          <w:b/>
          <w:kern w:val="28"/>
          <w:sz w:val="40"/>
          <w:lang w:val="en-US"/>
        </w:rPr>
      </w:pPr>
      <w:r w:rsidRPr="00017059">
        <w:rPr>
          <w:sz w:val="32"/>
          <w:lang w:val="en-US"/>
        </w:rPr>
        <w:br w:type="page"/>
      </w:r>
    </w:p>
    <w:p w14:paraId="72DFD7A7" w14:textId="2104834E" w:rsidR="00DE670D" w:rsidRPr="009045FE" w:rsidRDefault="00DB3E73" w:rsidP="00253C6C">
      <w:pPr>
        <w:pStyle w:val="Heading1"/>
      </w:pPr>
      <w:r>
        <w:lastRenderedPageBreak/>
        <w:t>Introduction</w:t>
      </w:r>
    </w:p>
    <w:p w14:paraId="1E1206EC" w14:textId="3867D19C" w:rsidR="00BD197D" w:rsidRDefault="00253C6C" w:rsidP="00D11A13">
      <w:pPr>
        <w:ind w:firstLine="0"/>
        <w:rPr>
          <w:lang w:val="en-US"/>
        </w:rPr>
      </w:pPr>
      <w:r w:rsidRPr="004D7236">
        <w:rPr>
          <w:szCs w:val="24"/>
          <w:lang w:val="en-US"/>
        </w:rPr>
        <w:t>Various UN Security Council Resolutions have identified sexual and gender-based violence</w:t>
      </w:r>
      <w:r w:rsidRPr="00F553BB">
        <w:rPr>
          <w:lang w:val="en-US"/>
        </w:rPr>
        <w:t xml:space="preserve"> as a security problem</w:t>
      </w:r>
      <w:r w:rsidR="000F7BD4">
        <w:rPr>
          <w:lang w:val="en-US"/>
        </w:rPr>
        <w:t xml:space="preserve">; and </w:t>
      </w:r>
      <w:r w:rsidRPr="00F553BB">
        <w:rPr>
          <w:lang w:val="en-US"/>
        </w:rPr>
        <w:t>called for more systematic data collection and analysis of the consequences of war for women</w:t>
      </w:r>
      <w:r w:rsidR="000F7BD4">
        <w:rPr>
          <w:lang w:val="en-US"/>
        </w:rPr>
        <w:t>,</w:t>
      </w:r>
      <w:r w:rsidRPr="00F553BB">
        <w:rPr>
          <w:lang w:val="en-US"/>
        </w:rPr>
        <w:t xml:space="preserve"> and ways to alleviate these problems, particularly sexual violence.</w:t>
      </w:r>
      <w:r>
        <w:rPr>
          <w:rStyle w:val="FootnoteReference"/>
          <w:lang w:val="en-US"/>
        </w:rPr>
        <w:footnoteReference w:id="2"/>
      </w:r>
      <w:r w:rsidRPr="00F553BB">
        <w:rPr>
          <w:lang w:val="en-US"/>
        </w:rPr>
        <w:t xml:space="preserve"> </w:t>
      </w:r>
      <w:r w:rsidR="00DB3E73" w:rsidRPr="001501E3">
        <w:rPr>
          <w:lang w:val="en-US"/>
        </w:rPr>
        <w:t>Sexual and gender-based violence (SGBV)</w:t>
      </w:r>
      <w:r w:rsidR="00DB3E73">
        <w:rPr>
          <w:lang w:val="en-US"/>
        </w:rPr>
        <w:t xml:space="preserve"> related to conflict settings in particular, has received significantly increased attention from researchers, looking at particular contexts</w:t>
      </w:r>
      <w:r w:rsidR="00942AED">
        <w:rPr>
          <w:lang w:val="en-US"/>
        </w:rPr>
        <w:t xml:space="preserve"> and countries</w:t>
      </w:r>
      <w:r w:rsidR="00DB3E73">
        <w:rPr>
          <w:lang w:val="en-US"/>
        </w:rPr>
        <w:t xml:space="preserve"> (e.g. </w:t>
      </w:r>
      <w:r w:rsidR="00DB3E73" w:rsidRPr="00DB3E73">
        <w:rPr>
          <w:lang w:val="en-US"/>
        </w:rPr>
        <w:t>Blay-Tofey</w:t>
      </w:r>
      <w:r w:rsidR="00DB3E73">
        <w:rPr>
          <w:lang w:val="en-US"/>
        </w:rPr>
        <w:t xml:space="preserve"> &amp; Lee 2015; Leiby 2009; </w:t>
      </w:r>
      <w:r w:rsidR="00942AED">
        <w:rPr>
          <w:lang w:val="en-US"/>
        </w:rPr>
        <w:t xml:space="preserve">Meger 2010; Peterman &amp; Johnson 2009; </w:t>
      </w:r>
      <w:r w:rsidR="00DB3E73">
        <w:rPr>
          <w:lang w:val="en-US"/>
        </w:rPr>
        <w:t xml:space="preserve">Rustad et al. 2016) </w:t>
      </w:r>
      <w:r w:rsidR="00942AED">
        <w:rPr>
          <w:lang w:val="en-US"/>
        </w:rPr>
        <w:t>as well as</w:t>
      </w:r>
      <w:r w:rsidR="00DB3E73">
        <w:rPr>
          <w:lang w:val="en-US"/>
        </w:rPr>
        <w:t xml:space="preserve"> global patterns (e.g. Cohen 2013; Cohen &amp; Nordås 2014; Wood 2012). </w:t>
      </w:r>
    </w:p>
    <w:p w14:paraId="7C2A6359" w14:textId="48A61975" w:rsidR="00D11A13" w:rsidRDefault="00DB3E73" w:rsidP="000D475F">
      <w:pPr>
        <w:ind w:firstLine="709"/>
        <w:rPr>
          <w:lang w:val="en-US"/>
        </w:rPr>
      </w:pPr>
      <w:r>
        <w:rPr>
          <w:lang w:val="en-US"/>
        </w:rPr>
        <w:t>I</w:t>
      </w:r>
      <w:r w:rsidRPr="00312780">
        <w:rPr>
          <w:lang w:val="en-US"/>
        </w:rPr>
        <w:t xml:space="preserve">n </w:t>
      </w:r>
      <w:r>
        <w:rPr>
          <w:lang w:val="en-US"/>
        </w:rPr>
        <w:t>t</w:t>
      </w:r>
      <w:r w:rsidRPr="001501E3">
        <w:rPr>
          <w:lang w:val="en-US"/>
        </w:rPr>
        <w:t>he Democra</w:t>
      </w:r>
      <w:r>
        <w:rPr>
          <w:lang w:val="en-US"/>
        </w:rPr>
        <w:t>tic Republic of the Congo (DRC),</w:t>
      </w:r>
      <w:r w:rsidRPr="001501E3">
        <w:rPr>
          <w:lang w:val="en-US"/>
        </w:rPr>
        <w:t xml:space="preserve"> </w:t>
      </w:r>
      <w:r>
        <w:rPr>
          <w:lang w:val="en-US"/>
        </w:rPr>
        <w:t>s</w:t>
      </w:r>
      <w:r w:rsidR="007765BC" w:rsidRPr="001501E3">
        <w:rPr>
          <w:lang w:val="en-US"/>
        </w:rPr>
        <w:t>exual and gender-based violence (SGBV), gender inequality, and infringements on women’s rights constitute massive challenge</w:t>
      </w:r>
      <w:r>
        <w:rPr>
          <w:lang w:val="en-US"/>
        </w:rPr>
        <w:t>s</w:t>
      </w:r>
      <w:r w:rsidR="007765BC" w:rsidRPr="001501E3">
        <w:rPr>
          <w:lang w:val="en-US"/>
        </w:rPr>
        <w:t xml:space="preserve"> (Peterman et al. </w:t>
      </w:r>
      <w:r w:rsidR="00643D5F" w:rsidRPr="001501E3">
        <w:rPr>
          <w:lang w:val="en-US"/>
        </w:rPr>
        <w:t>20</w:t>
      </w:r>
      <w:r w:rsidR="00643D5F">
        <w:rPr>
          <w:lang w:val="en-US"/>
        </w:rPr>
        <w:t>11</w:t>
      </w:r>
      <w:r w:rsidR="007765BC" w:rsidRPr="001501E3">
        <w:rPr>
          <w:lang w:val="en-US"/>
        </w:rPr>
        <w:t xml:space="preserve">). </w:t>
      </w:r>
      <w:r w:rsidR="00D11A13" w:rsidRPr="001501E3">
        <w:rPr>
          <w:lang w:val="en-US"/>
        </w:rPr>
        <w:t>The</w:t>
      </w:r>
      <w:r w:rsidR="000F7BD4">
        <w:rPr>
          <w:lang w:val="en-US"/>
        </w:rPr>
        <w:t xml:space="preserve"> DRC</w:t>
      </w:r>
      <w:r>
        <w:rPr>
          <w:lang w:val="en-US"/>
        </w:rPr>
        <w:t xml:space="preserve"> </w:t>
      </w:r>
      <w:r w:rsidR="00D11A13">
        <w:rPr>
          <w:lang w:val="en-US"/>
        </w:rPr>
        <w:t>is</w:t>
      </w:r>
      <w:r w:rsidR="00D11A13" w:rsidRPr="00312780">
        <w:rPr>
          <w:lang w:val="en-US"/>
        </w:rPr>
        <w:t xml:space="preserve"> </w:t>
      </w:r>
      <w:r w:rsidR="00D11A13">
        <w:rPr>
          <w:lang w:val="en-US"/>
        </w:rPr>
        <w:t xml:space="preserve">officially </w:t>
      </w:r>
      <w:r w:rsidR="000F7BD4">
        <w:rPr>
          <w:lang w:val="en-US"/>
        </w:rPr>
        <w:t xml:space="preserve">a </w:t>
      </w:r>
      <w:r w:rsidR="00D11A13">
        <w:rPr>
          <w:lang w:val="en-US"/>
        </w:rPr>
        <w:t>post-conflict country</w:t>
      </w:r>
      <w:r w:rsidR="000F7BD4">
        <w:rPr>
          <w:lang w:val="en-US"/>
        </w:rPr>
        <w:t>,</w:t>
      </w:r>
      <w:r w:rsidR="00D11A13">
        <w:rPr>
          <w:lang w:val="en-US"/>
        </w:rPr>
        <w:t xml:space="preserve"> but still in a situation of considerable insecurity and instability, </w:t>
      </w:r>
      <w:r>
        <w:rPr>
          <w:lang w:val="en-US"/>
        </w:rPr>
        <w:t xml:space="preserve">and </w:t>
      </w:r>
      <w:r w:rsidR="00D11A13">
        <w:rPr>
          <w:lang w:val="en-US"/>
        </w:rPr>
        <w:t>s</w:t>
      </w:r>
      <w:r w:rsidR="00D11A13" w:rsidRPr="00312780">
        <w:rPr>
          <w:lang w:val="en-US"/>
        </w:rPr>
        <w:t xml:space="preserve">exual and gender-based violence (SGBV) </w:t>
      </w:r>
      <w:r w:rsidR="00D11A13">
        <w:rPr>
          <w:lang w:val="en-US"/>
        </w:rPr>
        <w:t xml:space="preserve">has been and still </w:t>
      </w:r>
      <w:r w:rsidR="00D11A13" w:rsidRPr="00312780">
        <w:rPr>
          <w:lang w:val="en-US"/>
        </w:rPr>
        <w:t>is widespread</w:t>
      </w:r>
      <w:r w:rsidR="00D11A13">
        <w:rPr>
          <w:lang w:val="en-US"/>
        </w:rPr>
        <w:t xml:space="preserve"> in the eastern provinces</w:t>
      </w:r>
      <w:r w:rsidR="00D11A13" w:rsidRPr="00312780">
        <w:rPr>
          <w:lang w:val="en-US"/>
        </w:rPr>
        <w:t xml:space="preserve">. </w:t>
      </w:r>
      <w:r w:rsidR="00D11A13">
        <w:rPr>
          <w:lang w:val="en-US"/>
        </w:rPr>
        <w:t xml:space="preserve">Most groups operating in eastern </w:t>
      </w:r>
      <w:r w:rsidR="000F7BD4">
        <w:rPr>
          <w:lang w:val="en-US"/>
        </w:rPr>
        <w:t xml:space="preserve">DR </w:t>
      </w:r>
      <w:r w:rsidR="00D11A13">
        <w:rPr>
          <w:lang w:val="en-US"/>
        </w:rPr>
        <w:t>Congo have been accused of committing sexual violence, both rebel groups, militia groups and not the least the state military, the FARDC (e.g. Baaz and Stern 2009;</w:t>
      </w:r>
      <w:r w:rsidR="00D11A13" w:rsidRPr="0045492D">
        <w:rPr>
          <w:lang w:val="en-US"/>
        </w:rPr>
        <w:t xml:space="preserve"> </w:t>
      </w:r>
      <w:r w:rsidR="00D11A13">
        <w:rPr>
          <w:lang w:val="en-US"/>
        </w:rPr>
        <w:t>Cohen and Nordås, 2014). Armed actors have terrorized the population via sexual violence (commonly called c</w:t>
      </w:r>
      <w:r w:rsidR="00D11A13" w:rsidRPr="00312780">
        <w:rPr>
          <w:lang w:val="en-US"/>
        </w:rPr>
        <w:t>onflict-related SGBV</w:t>
      </w:r>
      <w:r w:rsidR="00D11A13">
        <w:rPr>
          <w:lang w:val="en-US"/>
        </w:rPr>
        <w:t xml:space="preserve">) </w:t>
      </w:r>
      <w:r w:rsidR="00D11A13" w:rsidRPr="00312780">
        <w:rPr>
          <w:lang w:val="en-US"/>
        </w:rPr>
        <w:t>in a way that prevents a normal life and causes extreme trauma, stigma and fragmentation of families (Bartels et al. 2010</w:t>
      </w:r>
      <w:r w:rsidR="00D11A13">
        <w:rPr>
          <w:lang w:val="en-US"/>
        </w:rPr>
        <w:t>a</w:t>
      </w:r>
      <w:r w:rsidR="00D11A13" w:rsidRPr="00312780">
        <w:rPr>
          <w:lang w:val="en-US"/>
        </w:rPr>
        <w:t>; Mukwege &amp; Nangini 2009)</w:t>
      </w:r>
      <w:r w:rsidR="00D11A13">
        <w:rPr>
          <w:lang w:val="en-US"/>
        </w:rPr>
        <w:t xml:space="preserve">. In the popular narrative, SGBV in eastern </w:t>
      </w:r>
      <w:r w:rsidR="000F7BD4">
        <w:rPr>
          <w:lang w:val="en-US"/>
        </w:rPr>
        <w:t xml:space="preserve">DR </w:t>
      </w:r>
      <w:r w:rsidR="00D11A13">
        <w:rPr>
          <w:lang w:val="en-US"/>
        </w:rPr>
        <w:t xml:space="preserve">Congo has been associated with a scramble for lucrative minerals and other natural resources; and although a simplified and probably even misleading causal explanation for sexual violence, women living near artisanal mining sites with armed group presence are more vulnerable to sexual violence by non-partners than women living less proximate to these sites (Rustad et al. 2016). </w:t>
      </w:r>
    </w:p>
    <w:p w14:paraId="60CF7260" w14:textId="39974DD9" w:rsidR="006E6186" w:rsidRDefault="007765BC" w:rsidP="007765BC">
      <w:pPr>
        <w:ind w:firstLine="709"/>
        <w:rPr>
          <w:lang w:val="en-US"/>
        </w:rPr>
      </w:pPr>
      <w:r w:rsidRPr="001501E3">
        <w:rPr>
          <w:lang w:val="en-US"/>
        </w:rPr>
        <w:t>In the midst of this situation, significant local initiatives are addressing SGBV problems</w:t>
      </w:r>
      <w:r w:rsidR="003045C8">
        <w:rPr>
          <w:lang w:val="en-US"/>
        </w:rPr>
        <w:t xml:space="preserve"> and assist</w:t>
      </w:r>
      <w:r w:rsidR="000F7BD4">
        <w:rPr>
          <w:lang w:val="en-US"/>
        </w:rPr>
        <w:t>ing</w:t>
      </w:r>
      <w:r w:rsidR="003045C8">
        <w:rPr>
          <w:lang w:val="en-US"/>
        </w:rPr>
        <w:t xml:space="preserve"> survivors of sexual violence</w:t>
      </w:r>
      <w:r w:rsidR="000F7BD4">
        <w:rPr>
          <w:lang w:val="en-US"/>
        </w:rPr>
        <w:t>. The focus on improving survivors´ inclusion</w:t>
      </w:r>
      <w:r w:rsidR="003045C8">
        <w:rPr>
          <w:lang w:val="en-US"/>
        </w:rPr>
        <w:t xml:space="preserve"> in the community, to </w:t>
      </w:r>
      <w:r w:rsidR="000F7BD4">
        <w:rPr>
          <w:lang w:val="en-US"/>
        </w:rPr>
        <w:t>strengthen</w:t>
      </w:r>
      <w:r w:rsidR="003045C8">
        <w:rPr>
          <w:lang w:val="en-US"/>
        </w:rPr>
        <w:t xml:space="preserve"> their livelihoods,</w:t>
      </w:r>
      <w:r w:rsidRPr="001501E3">
        <w:rPr>
          <w:lang w:val="en-US"/>
        </w:rPr>
        <w:t xml:space="preserve"> </w:t>
      </w:r>
      <w:r w:rsidR="000F7BD4">
        <w:rPr>
          <w:lang w:val="en-US"/>
        </w:rPr>
        <w:t xml:space="preserve">and </w:t>
      </w:r>
      <w:r w:rsidRPr="001501E3">
        <w:rPr>
          <w:lang w:val="en-US"/>
        </w:rPr>
        <w:t xml:space="preserve">to </w:t>
      </w:r>
      <w:r w:rsidR="000F7BD4">
        <w:rPr>
          <w:lang w:val="en-US"/>
        </w:rPr>
        <w:t xml:space="preserve">generally </w:t>
      </w:r>
      <w:r w:rsidRPr="001501E3">
        <w:rPr>
          <w:lang w:val="en-US"/>
        </w:rPr>
        <w:t>empower women and girls to improve their lives. One of the most established and well-known institutions in this regard is the Panzi Hospital in Bukavu, South Kivu</w:t>
      </w:r>
      <w:r w:rsidR="003045C8">
        <w:rPr>
          <w:lang w:val="en-US"/>
        </w:rPr>
        <w:t>, and associated support programs</w:t>
      </w:r>
      <w:r w:rsidRPr="001501E3">
        <w:rPr>
          <w:lang w:val="en-US"/>
        </w:rPr>
        <w:t xml:space="preserve">. Panzi Hospital </w:t>
      </w:r>
      <w:r w:rsidR="000F7BD4">
        <w:rPr>
          <w:lang w:val="en-US"/>
        </w:rPr>
        <w:t xml:space="preserve">is a general referral hospital but also </w:t>
      </w:r>
      <w:r w:rsidRPr="001501E3">
        <w:rPr>
          <w:lang w:val="en-US"/>
        </w:rPr>
        <w:t xml:space="preserve">specializes in medical treatment of survivors of SGBV, and several programs for social, economic, juridical and psychological assistance have been initiated </w:t>
      </w:r>
      <w:r w:rsidRPr="001501E3">
        <w:rPr>
          <w:lang w:val="en-US"/>
        </w:rPr>
        <w:lastRenderedPageBreak/>
        <w:t>around the hospital under the auspices of Panzi Foundation DRC.</w:t>
      </w:r>
      <w:r>
        <w:rPr>
          <w:lang w:val="en-US"/>
        </w:rPr>
        <w:t xml:space="preserve"> These initiatives have been started recognizing that it is important to not only treat the </w:t>
      </w:r>
      <w:r w:rsidRPr="00CA7B7E">
        <w:rPr>
          <w:i/>
          <w:lang w:val="en-US"/>
        </w:rPr>
        <w:t>medical</w:t>
      </w:r>
      <w:r>
        <w:rPr>
          <w:lang w:val="en-US"/>
        </w:rPr>
        <w:t xml:space="preserve"> problems of the patients admitted to the hospital for treatment of sexual-violence related problems</w:t>
      </w:r>
      <w:r w:rsidR="0097503F">
        <w:rPr>
          <w:lang w:val="en-US"/>
        </w:rPr>
        <w:t>, but to also provide socioeconomic support</w:t>
      </w:r>
      <w:r w:rsidR="000F7BD4">
        <w:rPr>
          <w:lang w:val="en-US"/>
        </w:rPr>
        <w:t xml:space="preserve"> for sexual violence survivors</w:t>
      </w:r>
      <w:r>
        <w:rPr>
          <w:lang w:val="en-US"/>
        </w:rPr>
        <w:t xml:space="preserve">. Once these patients leave the hospital, they not only face traumas, but they are also </w:t>
      </w:r>
      <w:r w:rsidR="003045C8">
        <w:rPr>
          <w:lang w:val="en-US"/>
        </w:rPr>
        <w:t xml:space="preserve">assumed to </w:t>
      </w:r>
      <w:r>
        <w:rPr>
          <w:lang w:val="en-US"/>
        </w:rPr>
        <w:t xml:space="preserve">likely </w:t>
      </w:r>
      <w:r w:rsidR="003045C8">
        <w:rPr>
          <w:lang w:val="en-US"/>
        </w:rPr>
        <w:t>face</w:t>
      </w:r>
      <w:r>
        <w:rPr>
          <w:lang w:val="en-US"/>
        </w:rPr>
        <w:t xml:space="preserve"> stigmatized and risk being rejected by family and community. </w:t>
      </w:r>
      <w:r w:rsidR="009D76AD" w:rsidRPr="00F553BB">
        <w:rPr>
          <w:lang w:val="en-US"/>
        </w:rPr>
        <w:t xml:space="preserve">A few studies have </w:t>
      </w:r>
      <w:r w:rsidR="009D76AD">
        <w:rPr>
          <w:lang w:val="en-US"/>
        </w:rPr>
        <w:t xml:space="preserve">recently </w:t>
      </w:r>
      <w:r w:rsidR="009D76AD" w:rsidRPr="00F553BB">
        <w:rPr>
          <w:lang w:val="en-US"/>
        </w:rPr>
        <w:t>been carried out that try to systematize what the situation is for women in the DR</w:t>
      </w:r>
      <w:r w:rsidR="000F7BD4">
        <w:rPr>
          <w:lang w:val="en-US"/>
        </w:rPr>
        <w:t xml:space="preserve"> </w:t>
      </w:r>
      <w:r w:rsidR="009D76AD" w:rsidRPr="00F553BB">
        <w:rPr>
          <w:lang w:val="en-US"/>
        </w:rPr>
        <w:t>C</w:t>
      </w:r>
      <w:r w:rsidR="000F7BD4">
        <w:rPr>
          <w:lang w:val="en-US"/>
        </w:rPr>
        <w:t>ongo</w:t>
      </w:r>
      <w:r w:rsidR="009D76AD">
        <w:rPr>
          <w:lang w:val="en-US"/>
        </w:rPr>
        <w:t xml:space="preserve"> in general, as well as focusing particularly on the problem of sexual violence specifically </w:t>
      </w:r>
      <w:r w:rsidR="009D76AD" w:rsidRPr="00F553BB">
        <w:rPr>
          <w:lang w:val="en-US"/>
        </w:rPr>
        <w:t>(</w:t>
      </w:r>
      <w:r w:rsidR="009D76AD">
        <w:rPr>
          <w:lang w:val="en-US"/>
        </w:rPr>
        <w:t xml:space="preserve">e.g. Baaz &amp; Stern 2009, 2010; </w:t>
      </w:r>
      <w:r w:rsidR="009D76AD" w:rsidRPr="009937CC">
        <w:rPr>
          <w:lang w:val="en-US"/>
        </w:rPr>
        <w:t xml:space="preserve">Babalola </w:t>
      </w:r>
      <w:r w:rsidR="009D76AD">
        <w:rPr>
          <w:lang w:val="en-US"/>
        </w:rPr>
        <w:t xml:space="preserve">2013; Bartels et al. 2010a, b; </w:t>
      </w:r>
      <w:r w:rsidR="009D76AD" w:rsidRPr="008C4369">
        <w:rPr>
          <w:lang w:val="en-US"/>
        </w:rPr>
        <w:t>Dossa et al., 2014</w:t>
      </w:r>
      <w:r w:rsidR="009D76AD">
        <w:rPr>
          <w:lang w:val="en-US"/>
        </w:rPr>
        <w:t>;</w:t>
      </w:r>
      <w:r w:rsidR="009D76AD" w:rsidRPr="009937CC">
        <w:rPr>
          <w:lang w:val="en-US"/>
        </w:rPr>
        <w:t xml:space="preserve"> </w:t>
      </w:r>
      <w:r w:rsidR="009D76AD" w:rsidRPr="00632216">
        <w:rPr>
          <w:lang w:val="en-US"/>
        </w:rPr>
        <w:t>Kasangye et al. 2014</w:t>
      </w:r>
      <w:r w:rsidR="009D76AD" w:rsidRPr="008C4369">
        <w:rPr>
          <w:lang w:val="en-US"/>
        </w:rPr>
        <w:t xml:space="preserve">; </w:t>
      </w:r>
      <w:r w:rsidR="009D76AD" w:rsidRPr="004D2828">
        <w:rPr>
          <w:lang w:val="en-US"/>
        </w:rPr>
        <w:t xml:space="preserve">Kelly et al, 2009, 2011; </w:t>
      </w:r>
      <w:r w:rsidR="009D76AD" w:rsidRPr="00AD0E62">
        <w:rPr>
          <w:lang w:val="en-US"/>
        </w:rPr>
        <w:t>Kohli et al. 2014</w:t>
      </w:r>
      <w:r w:rsidR="009D76AD">
        <w:rPr>
          <w:lang w:val="en-US"/>
        </w:rPr>
        <w:t xml:space="preserve">; </w:t>
      </w:r>
      <w:r w:rsidR="009D76AD" w:rsidRPr="008C4369">
        <w:rPr>
          <w:lang w:val="en-US"/>
        </w:rPr>
        <w:t xml:space="preserve">Peterman et al. 2011; Rustad et al. 2016). </w:t>
      </w:r>
    </w:p>
    <w:p w14:paraId="1BD92760" w14:textId="71804A34" w:rsidR="00342325" w:rsidRDefault="003045C8" w:rsidP="00342325">
      <w:pPr>
        <w:ind w:firstLine="709"/>
        <w:rPr>
          <w:lang w:val="en-US"/>
        </w:rPr>
      </w:pPr>
      <w:r w:rsidRPr="00F553BB">
        <w:rPr>
          <w:lang w:val="en-US"/>
        </w:rPr>
        <w:t xml:space="preserve">Finding efficient ways to achieve </w:t>
      </w:r>
      <w:r w:rsidR="009D76AD">
        <w:rPr>
          <w:lang w:val="en-US"/>
        </w:rPr>
        <w:t xml:space="preserve">female </w:t>
      </w:r>
      <w:r w:rsidRPr="00F553BB">
        <w:rPr>
          <w:lang w:val="en-US"/>
        </w:rPr>
        <w:t>empowerment is difficult</w:t>
      </w:r>
      <w:r>
        <w:rPr>
          <w:lang w:val="en-US"/>
        </w:rPr>
        <w:t>;</w:t>
      </w:r>
      <w:r w:rsidRPr="00F553BB">
        <w:rPr>
          <w:lang w:val="en-US"/>
        </w:rPr>
        <w:t xml:space="preserve"> in particular sustainable ways of empowering </w:t>
      </w:r>
      <w:r w:rsidR="009D76AD">
        <w:rPr>
          <w:lang w:val="en-US"/>
        </w:rPr>
        <w:t xml:space="preserve">vulnerable </w:t>
      </w:r>
      <w:r w:rsidRPr="00F553BB">
        <w:rPr>
          <w:lang w:val="en-US"/>
        </w:rPr>
        <w:t>women in violent and poverty-stricken post-conflict settings</w:t>
      </w:r>
      <w:r>
        <w:rPr>
          <w:lang w:val="en-US"/>
        </w:rPr>
        <w:t>. Despite the importance of effective programming towards sexual violence survivors in particular, r</w:t>
      </w:r>
      <w:r w:rsidR="00342325">
        <w:rPr>
          <w:lang w:val="en-US"/>
        </w:rPr>
        <w:t>elatively</w:t>
      </w:r>
      <w:r w:rsidR="007765BC" w:rsidRPr="0030148B">
        <w:rPr>
          <w:lang w:val="en-US"/>
        </w:rPr>
        <w:t xml:space="preserve"> little research has been done on how </w:t>
      </w:r>
      <w:r w:rsidR="00342325">
        <w:rPr>
          <w:lang w:val="en-US"/>
        </w:rPr>
        <w:t>support</w:t>
      </w:r>
      <w:r w:rsidR="00342325" w:rsidRPr="0030148B">
        <w:rPr>
          <w:lang w:val="en-US"/>
        </w:rPr>
        <w:t xml:space="preserve"> </w:t>
      </w:r>
      <w:r w:rsidR="0097503F">
        <w:rPr>
          <w:lang w:val="en-US"/>
        </w:rPr>
        <w:t>program</w:t>
      </w:r>
      <w:r w:rsidR="007765BC" w:rsidRPr="0030148B">
        <w:rPr>
          <w:lang w:val="en-US"/>
        </w:rPr>
        <w:t xml:space="preserve">s work, and what their long-term effects are for women (in terms of i.a. health, social status, employment, and re-integration) and for society at large (Bosmans 2007; Steiner et al. 2009). </w:t>
      </w:r>
      <w:r w:rsidR="009D76AD">
        <w:rPr>
          <w:lang w:val="en-US"/>
        </w:rPr>
        <w:t>A few studies that focus on assistance to survivors exist (e.g. Bolton 2009; Bosmans 2007; Douma &amp; Hilhorst 2012; Roka et al. 2014; Steiner et al. 2009)</w:t>
      </w:r>
      <w:r w:rsidR="009D76AD" w:rsidRPr="00F553BB">
        <w:rPr>
          <w:lang w:val="en-US"/>
        </w:rPr>
        <w:t xml:space="preserve">. </w:t>
      </w:r>
      <w:r w:rsidR="006A668B">
        <w:rPr>
          <w:lang w:val="en-US"/>
        </w:rPr>
        <w:t xml:space="preserve">Some of these </w:t>
      </w:r>
      <w:r w:rsidR="007765BC" w:rsidRPr="0030148B">
        <w:rPr>
          <w:lang w:val="en-US"/>
        </w:rPr>
        <w:t xml:space="preserve">studies (e.g. Kelly et al. 2009; Douma &amp; Hilhorst 2012; and Steiner et al. 2009) call into question the effectiveness of some of these </w:t>
      </w:r>
      <w:r w:rsidR="0097503F">
        <w:rPr>
          <w:lang w:val="en-US"/>
        </w:rPr>
        <w:t>program</w:t>
      </w:r>
      <w:r w:rsidR="007765BC" w:rsidRPr="0030148B">
        <w:rPr>
          <w:lang w:val="en-US"/>
        </w:rPr>
        <w:t xml:space="preserve">s and highlight the need for further research and critical evaluation. </w:t>
      </w:r>
      <w:r w:rsidR="006A668B">
        <w:rPr>
          <w:lang w:val="en-US"/>
        </w:rPr>
        <w:t>However</w:t>
      </w:r>
      <w:r w:rsidR="00342325" w:rsidRPr="00253C6C">
        <w:rPr>
          <w:lang w:val="en-US"/>
        </w:rPr>
        <w:t xml:space="preserve">, there is an acute lack of data that can be used to critically and systematically assess the </w:t>
      </w:r>
      <w:r w:rsidR="00342325">
        <w:rPr>
          <w:lang w:val="en-US"/>
        </w:rPr>
        <w:t xml:space="preserve">focus and </w:t>
      </w:r>
      <w:r w:rsidR="00342325" w:rsidRPr="00253C6C">
        <w:rPr>
          <w:lang w:val="en-US"/>
        </w:rPr>
        <w:t>impact of the programs</w:t>
      </w:r>
      <w:r w:rsidR="00342325">
        <w:rPr>
          <w:lang w:val="en-US"/>
        </w:rPr>
        <w:t xml:space="preserve"> designed to assist survivors in various ways</w:t>
      </w:r>
      <w:r w:rsidR="00342325" w:rsidRPr="00253C6C">
        <w:rPr>
          <w:lang w:val="en-US"/>
        </w:rPr>
        <w:t xml:space="preserve">. </w:t>
      </w:r>
      <w:r w:rsidR="00342325" w:rsidRPr="00F553BB">
        <w:rPr>
          <w:lang w:val="en-US"/>
        </w:rPr>
        <w:t>A</w:t>
      </w:r>
      <w:r w:rsidR="006A668B">
        <w:rPr>
          <w:lang w:val="en-US"/>
        </w:rPr>
        <w:t>lthough a</w:t>
      </w:r>
      <w:r w:rsidR="00342325" w:rsidRPr="00F553BB">
        <w:rPr>
          <w:lang w:val="en-US"/>
        </w:rPr>
        <w:t xml:space="preserve">necdotal evidence suggests positive benefits of programming, </w:t>
      </w:r>
      <w:r w:rsidR="00342325" w:rsidRPr="00253C6C">
        <w:rPr>
          <w:lang w:val="en-US"/>
        </w:rPr>
        <w:t xml:space="preserve">support programs themselves </w:t>
      </w:r>
      <w:r w:rsidR="006A668B">
        <w:rPr>
          <w:lang w:val="en-US"/>
        </w:rPr>
        <w:t>could</w:t>
      </w:r>
      <w:r w:rsidR="006A668B" w:rsidRPr="00253C6C">
        <w:rPr>
          <w:lang w:val="en-US"/>
        </w:rPr>
        <w:t xml:space="preserve"> </w:t>
      </w:r>
      <w:r w:rsidR="006A668B">
        <w:rPr>
          <w:lang w:val="en-US"/>
        </w:rPr>
        <w:t xml:space="preserve">also </w:t>
      </w:r>
      <w:r w:rsidR="00342325" w:rsidRPr="00253C6C">
        <w:rPr>
          <w:lang w:val="en-US"/>
        </w:rPr>
        <w:t>have the unintended effect of leading to increased l</w:t>
      </w:r>
      <w:r w:rsidR="00342325">
        <w:rPr>
          <w:lang w:val="en-US"/>
        </w:rPr>
        <w:t xml:space="preserve">evels of stigma among survivors, or a stronger visibility of who has been raped and who would therefore potentially be excluded or perceived negatively by the community. For example, in one </w:t>
      </w:r>
      <w:r w:rsidR="006A668B">
        <w:rPr>
          <w:lang w:val="en-US"/>
        </w:rPr>
        <w:t xml:space="preserve">focus group </w:t>
      </w:r>
      <w:r w:rsidR="00342325">
        <w:rPr>
          <w:lang w:val="en-US"/>
        </w:rPr>
        <w:t xml:space="preserve">interview </w:t>
      </w:r>
      <w:r w:rsidR="006A668B">
        <w:rPr>
          <w:lang w:val="en-US"/>
        </w:rPr>
        <w:t xml:space="preserve">we carried out in 2014 in a village in South Kivu, </w:t>
      </w:r>
      <w:r w:rsidR="00342325">
        <w:rPr>
          <w:lang w:val="en-US"/>
        </w:rPr>
        <w:t>it was pointed out that because a support program provided shoes that were very recognizable, this because a sign of being a survivor: “</w:t>
      </w:r>
      <w:r w:rsidR="00342325" w:rsidRPr="006E6186">
        <w:rPr>
          <w:lang w:val="en-US"/>
        </w:rPr>
        <w:t>when they returned, they all had similar pairs of shoes and all the women who had such pairs of shoes w</w:t>
      </w:r>
      <w:r w:rsidR="00342325">
        <w:rPr>
          <w:lang w:val="en-US"/>
        </w:rPr>
        <w:t>ere</w:t>
      </w:r>
      <w:r w:rsidR="00342325" w:rsidRPr="006E6186">
        <w:rPr>
          <w:lang w:val="en-US"/>
        </w:rPr>
        <w:t xml:space="preserve"> said to have been raped</w:t>
      </w:r>
      <w:r w:rsidR="00342325">
        <w:rPr>
          <w:lang w:val="en-US"/>
        </w:rPr>
        <w:t>.”</w:t>
      </w:r>
      <w:r w:rsidR="006A668B">
        <w:rPr>
          <w:rStyle w:val="FootnoteReference"/>
          <w:lang w:val="en-US"/>
        </w:rPr>
        <w:footnoteReference w:id="3"/>
      </w:r>
      <w:r w:rsidR="00342325">
        <w:rPr>
          <w:lang w:val="en-US"/>
        </w:rPr>
        <w:t xml:space="preserve"> </w:t>
      </w:r>
    </w:p>
    <w:p w14:paraId="55CE51AD" w14:textId="6F33CFE9" w:rsidR="007765BC" w:rsidRDefault="007765BC" w:rsidP="006B1C42">
      <w:pPr>
        <w:ind w:firstLine="709"/>
        <w:rPr>
          <w:lang w:val="en-US"/>
        </w:rPr>
      </w:pPr>
      <w:r w:rsidRPr="0030148B">
        <w:rPr>
          <w:lang w:val="en-US"/>
        </w:rPr>
        <w:t xml:space="preserve">In sum, </w:t>
      </w:r>
      <w:r w:rsidR="006A668B">
        <w:rPr>
          <w:lang w:val="en-US"/>
        </w:rPr>
        <w:t xml:space="preserve">systematic </w:t>
      </w:r>
      <w:r w:rsidRPr="0030148B">
        <w:rPr>
          <w:lang w:val="en-US"/>
        </w:rPr>
        <w:t xml:space="preserve">research on </w:t>
      </w:r>
      <w:r w:rsidR="0097503F">
        <w:rPr>
          <w:lang w:val="en-US"/>
        </w:rPr>
        <w:t>program</w:t>
      </w:r>
      <w:r w:rsidRPr="0030148B">
        <w:rPr>
          <w:lang w:val="en-US"/>
        </w:rPr>
        <w:t xml:space="preserve"> effectiveness is scarce and represents a significant knowledge gap.</w:t>
      </w:r>
      <w:r>
        <w:rPr>
          <w:lang w:val="en-US"/>
        </w:rPr>
        <w:t xml:space="preserve"> </w:t>
      </w:r>
      <w:r w:rsidRPr="00CA7B7E">
        <w:rPr>
          <w:lang w:val="en-US"/>
        </w:rPr>
        <w:t xml:space="preserve">In this paper, we </w:t>
      </w:r>
      <w:r>
        <w:rPr>
          <w:lang w:val="en-US"/>
        </w:rPr>
        <w:t xml:space="preserve">therefore </w:t>
      </w:r>
      <w:r w:rsidR="006A668B">
        <w:rPr>
          <w:lang w:val="en-US"/>
        </w:rPr>
        <w:t xml:space="preserve">present new directed survey data of </w:t>
      </w:r>
      <w:r w:rsidR="006A668B">
        <w:rPr>
          <w:lang w:val="en-US"/>
        </w:rPr>
        <w:lastRenderedPageBreak/>
        <w:t xml:space="preserve">women in South Kivu, </w:t>
      </w:r>
      <w:r w:rsidR="000F7BD4">
        <w:rPr>
          <w:lang w:val="en-US"/>
        </w:rPr>
        <w:t>particularly</w:t>
      </w:r>
      <w:r w:rsidR="006A668B">
        <w:rPr>
          <w:lang w:val="en-US"/>
        </w:rPr>
        <w:t xml:space="preserve"> women who have recently been in support programs and many of whom are survivors of sexual violence, and </w:t>
      </w:r>
      <w:r w:rsidRPr="00CA7B7E">
        <w:rPr>
          <w:lang w:val="en-US"/>
        </w:rPr>
        <w:t>analyze the</w:t>
      </w:r>
      <w:r w:rsidR="006A668B">
        <w:rPr>
          <w:lang w:val="en-US"/>
        </w:rPr>
        <w:t>ir</w:t>
      </w:r>
      <w:r w:rsidRPr="00CA7B7E">
        <w:rPr>
          <w:lang w:val="en-US"/>
        </w:rPr>
        <w:t xml:space="preserve"> situation terms of their experience of social exclusion</w:t>
      </w:r>
      <w:r w:rsidR="006A668B">
        <w:rPr>
          <w:lang w:val="en-US"/>
        </w:rPr>
        <w:t xml:space="preserve"> and effect of programming</w:t>
      </w:r>
      <w:r w:rsidRPr="00CA7B7E">
        <w:rPr>
          <w:lang w:val="en-US"/>
        </w:rPr>
        <w:t xml:space="preserve">. </w:t>
      </w:r>
      <w:r>
        <w:rPr>
          <w:lang w:val="en-US"/>
        </w:rPr>
        <w:t xml:space="preserve">Specifically, we ask </w:t>
      </w:r>
      <w:r w:rsidR="003045C8">
        <w:rPr>
          <w:lang w:val="en-US"/>
        </w:rPr>
        <w:t xml:space="preserve">three </w:t>
      </w:r>
      <w:r>
        <w:rPr>
          <w:lang w:val="en-US"/>
        </w:rPr>
        <w:t>research questions</w:t>
      </w:r>
      <w:r w:rsidRPr="00CA7B7E">
        <w:rPr>
          <w:lang w:val="en-US"/>
        </w:rPr>
        <w:t xml:space="preserve">: </w:t>
      </w:r>
      <w:r>
        <w:rPr>
          <w:lang w:val="en-US"/>
        </w:rPr>
        <w:t xml:space="preserve">(1) </w:t>
      </w:r>
      <w:r w:rsidRPr="00D669E4">
        <w:rPr>
          <w:i/>
          <w:lang w:val="en-US"/>
        </w:rPr>
        <w:t>Is the</w:t>
      </w:r>
      <w:r w:rsidR="00DC679F">
        <w:rPr>
          <w:i/>
          <w:lang w:val="en-US"/>
        </w:rPr>
        <w:t xml:space="preserve"> general</w:t>
      </w:r>
      <w:r w:rsidRPr="00D669E4">
        <w:rPr>
          <w:i/>
          <w:lang w:val="en-US"/>
        </w:rPr>
        <w:t xml:space="preserve"> feeling of </w:t>
      </w:r>
      <w:r w:rsidR="00DC679F">
        <w:rPr>
          <w:i/>
          <w:lang w:val="en-US"/>
        </w:rPr>
        <w:t xml:space="preserve">social </w:t>
      </w:r>
      <w:r w:rsidRPr="00D669E4">
        <w:rPr>
          <w:i/>
          <w:lang w:val="en-US"/>
        </w:rPr>
        <w:t xml:space="preserve">inclusion/exclusion different for survivors and non-survivors? </w:t>
      </w:r>
      <w:r w:rsidR="003045C8">
        <w:rPr>
          <w:i/>
          <w:lang w:val="en-US"/>
        </w:rPr>
        <w:t xml:space="preserve">(2) Do support programs improve perceived economic wellbeing of their beneficiaries, and particularly sexual violence survivors? </w:t>
      </w:r>
      <w:r>
        <w:rPr>
          <w:lang w:val="en-US"/>
        </w:rPr>
        <w:t>And (</w:t>
      </w:r>
      <w:r w:rsidR="003045C8">
        <w:rPr>
          <w:lang w:val="en-US"/>
        </w:rPr>
        <w:t>3</w:t>
      </w:r>
      <w:r>
        <w:rPr>
          <w:lang w:val="en-US"/>
        </w:rPr>
        <w:t>) i</w:t>
      </w:r>
      <w:r w:rsidRPr="00D669E4">
        <w:rPr>
          <w:i/>
          <w:lang w:val="en-US"/>
        </w:rPr>
        <w:t xml:space="preserve">s the feeling of inclusion/exclusion different for survivors that </w:t>
      </w:r>
      <w:r w:rsidR="00DC679F">
        <w:rPr>
          <w:i/>
          <w:lang w:val="en-US"/>
        </w:rPr>
        <w:t xml:space="preserve">have been exposed to support </w:t>
      </w:r>
      <w:r w:rsidRPr="00D669E4">
        <w:rPr>
          <w:i/>
          <w:lang w:val="en-US"/>
        </w:rPr>
        <w:t>programs?</w:t>
      </w:r>
    </w:p>
    <w:p w14:paraId="204679DB" w14:textId="73ABFACE" w:rsidR="006A668B" w:rsidRPr="00C8442E" w:rsidRDefault="006A668B" w:rsidP="006B1C42">
      <w:pPr>
        <w:ind w:firstLine="709"/>
        <w:rPr>
          <w:lang w:val="en-US"/>
        </w:rPr>
      </w:pPr>
      <w:r>
        <w:rPr>
          <w:lang w:val="en-US"/>
        </w:rPr>
        <w:t xml:space="preserve">Before presenting our research design, data and analyses, we give an overview of existing knowledge on consequences of conflict-related sexual violence for survivors and the effects of support programs. </w:t>
      </w:r>
    </w:p>
    <w:p w14:paraId="7758FD11" w14:textId="5F41A270" w:rsidR="00342325" w:rsidRDefault="0067717E" w:rsidP="000D475F">
      <w:pPr>
        <w:pStyle w:val="Heading1"/>
      </w:pPr>
      <w:r>
        <w:t>Knowledge on c</w:t>
      </w:r>
      <w:r w:rsidR="00342325">
        <w:t>onsequences of sexual violence and effects of support programs</w:t>
      </w:r>
    </w:p>
    <w:p w14:paraId="61122293" w14:textId="53032711" w:rsidR="00F007C8" w:rsidRDefault="007765BC" w:rsidP="000D475F">
      <w:pPr>
        <w:ind w:firstLine="0"/>
        <w:rPr>
          <w:lang w:val="en-US"/>
        </w:rPr>
      </w:pPr>
      <w:r>
        <w:rPr>
          <w:lang w:val="en-US"/>
        </w:rPr>
        <w:t xml:space="preserve">Sexual violence is generally believed to be associated with considerable shame and stigma for the victims. </w:t>
      </w:r>
      <w:r w:rsidRPr="00F84202">
        <w:rPr>
          <w:lang w:val="en-US"/>
        </w:rPr>
        <w:t>In addition to the challenges of coping with physical complications and psychological trauma</w:t>
      </w:r>
      <w:r w:rsidR="00862208">
        <w:rPr>
          <w:lang w:val="en-US"/>
        </w:rPr>
        <w:t>,</w:t>
      </w:r>
      <w:r w:rsidRPr="00F84202">
        <w:rPr>
          <w:lang w:val="en-US"/>
        </w:rPr>
        <w:t xml:space="preserve"> many survivors face marginalization and social exclusion among family members and in their local communities. </w:t>
      </w:r>
      <w:r w:rsidR="0067717E">
        <w:rPr>
          <w:lang w:val="en-US"/>
        </w:rPr>
        <w:t xml:space="preserve">One consequence for survivors can be outright rejection by their husbands. </w:t>
      </w:r>
      <w:r w:rsidR="00F007C8">
        <w:rPr>
          <w:lang w:val="en-US"/>
        </w:rPr>
        <w:t xml:space="preserve">From </w:t>
      </w:r>
      <w:r w:rsidR="00862208">
        <w:rPr>
          <w:lang w:val="en-US"/>
        </w:rPr>
        <w:t>f</w:t>
      </w:r>
      <w:r w:rsidR="00F007C8">
        <w:rPr>
          <w:lang w:val="en-US"/>
        </w:rPr>
        <w:t>ocus group interviews</w:t>
      </w:r>
      <w:r w:rsidR="0067717E">
        <w:rPr>
          <w:lang w:val="en-US"/>
        </w:rPr>
        <w:t xml:space="preserve"> we conducted in South Kivu province</w:t>
      </w:r>
      <w:r w:rsidR="00F007C8">
        <w:rPr>
          <w:lang w:val="en-US"/>
        </w:rPr>
        <w:t xml:space="preserve">, women tell about feelings of shame. One woman in a village in Kalehe territory, for example, said </w:t>
      </w:r>
      <w:r w:rsidR="00342325">
        <w:rPr>
          <w:lang w:val="en-US"/>
        </w:rPr>
        <w:t xml:space="preserve">in an interview </w:t>
      </w:r>
      <w:r w:rsidR="00F007C8">
        <w:rPr>
          <w:lang w:val="en-US"/>
        </w:rPr>
        <w:t>that “</w:t>
      </w:r>
      <w:r w:rsidR="00F007C8" w:rsidRPr="00F007C8">
        <w:rPr>
          <w:lang w:val="en-US"/>
        </w:rPr>
        <w:t>when they raped me, I stayed in my house for</w:t>
      </w:r>
      <w:r w:rsidR="00F007C8">
        <w:rPr>
          <w:lang w:val="en-US"/>
        </w:rPr>
        <w:t xml:space="preserve"> </w:t>
      </w:r>
      <w:r w:rsidR="00862208">
        <w:rPr>
          <w:lang w:val="en-US"/>
        </w:rPr>
        <w:t>seven</w:t>
      </w:r>
      <w:r w:rsidR="00F007C8">
        <w:rPr>
          <w:lang w:val="en-US"/>
        </w:rPr>
        <w:t xml:space="preserve"> </w:t>
      </w:r>
      <w:r w:rsidR="00F007C8" w:rsidRPr="00F007C8">
        <w:rPr>
          <w:lang w:val="en-US"/>
        </w:rPr>
        <w:t>months, I was ashamed and couldn’t approach other people</w:t>
      </w:r>
      <w:r w:rsidR="00F007C8">
        <w:rPr>
          <w:lang w:val="en-US"/>
        </w:rPr>
        <w:t xml:space="preserve">”. </w:t>
      </w:r>
      <w:r w:rsidR="0067717E">
        <w:rPr>
          <w:lang w:val="en-US"/>
        </w:rPr>
        <w:t>Another</w:t>
      </w:r>
      <w:r w:rsidR="00F007C8">
        <w:rPr>
          <w:lang w:val="en-US"/>
        </w:rPr>
        <w:t xml:space="preserve"> woman interviewed in Kavumu territory said that “When he [the husband]</w:t>
      </w:r>
      <w:r w:rsidR="00F007C8" w:rsidRPr="00F007C8">
        <w:rPr>
          <w:lang w:val="en-US"/>
        </w:rPr>
        <w:t xml:space="preserve"> came back, he said I simply cannot take back a wife who has been raped...”</w:t>
      </w:r>
      <w:r w:rsidR="00F007C8">
        <w:rPr>
          <w:lang w:val="en-US"/>
        </w:rPr>
        <w:t>. Another woman explained family rejection and said that “</w:t>
      </w:r>
      <w:r w:rsidR="00F007C8" w:rsidRPr="00F007C8">
        <w:rPr>
          <w:lang w:val="en-US"/>
        </w:rPr>
        <w:t>for us who were both raped and whose husbands were killed, we were rejected by both our native families and by the families-in-law. We</w:t>
      </w:r>
      <w:r w:rsidR="00F007C8">
        <w:rPr>
          <w:lang w:val="en-US"/>
        </w:rPr>
        <w:t xml:space="preserve"> had to cope with our problems - poverty, misery, illnesses-</w:t>
      </w:r>
      <w:r w:rsidR="00F007C8" w:rsidRPr="00F007C8">
        <w:rPr>
          <w:lang w:val="en-US"/>
        </w:rPr>
        <w:t xml:space="preserve"> by ourselves</w:t>
      </w:r>
      <w:r w:rsidR="00F007C8">
        <w:rPr>
          <w:lang w:val="en-US"/>
        </w:rPr>
        <w:t>. W</w:t>
      </w:r>
      <w:r w:rsidR="00F007C8" w:rsidRPr="00F007C8">
        <w:rPr>
          <w:lang w:val="en-US"/>
        </w:rPr>
        <w:t>e we</w:t>
      </w:r>
      <w:r w:rsidR="00F007C8">
        <w:rPr>
          <w:lang w:val="en-US"/>
        </w:rPr>
        <w:t xml:space="preserve">re considered as useless people”. </w:t>
      </w:r>
    </w:p>
    <w:p w14:paraId="189AE03A" w14:textId="3F841C7A" w:rsidR="007765BC" w:rsidRDefault="00F007C8" w:rsidP="007765BC">
      <w:pPr>
        <w:ind w:firstLine="709"/>
        <w:rPr>
          <w:lang w:val="en-US"/>
        </w:rPr>
      </w:pPr>
      <w:r>
        <w:rPr>
          <w:lang w:val="en-US"/>
        </w:rPr>
        <w:t xml:space="preserve">These situations have many </w:t>
      </w:r>
      <w:r w:rsidR="007765BC">
        <w:rPr>
          <w:lang w:val="en-US"/>
        </w:rPr>
        <w:t xml:space="preserve">associated problems </w:t>
      </w:r>
      <w:r>
        <w:rPr>
          <w:lang w:val="en-US"/>
        </w:rPr>
        <w:t xml:space="preserve">for </w:t>
      </w:r>
      <w:r w:rsidR="007765BC">
        <w:rPr>
          <w:lang w:val="en-US"/>
        </w:rPr>
        <w:t xml:space="preserve">mental health and livelihoods.  One study from 2011 based on 255 women treated at Panzi Hospital found that of the women in this sample </w:t>
      </w:r>
      <w:r w:rsidR="008D3D08">
        <w:rPr>
          <w:lang w:val="en-US"/>
        </w:rPr>
        <w:t>who</w:t>
      </w:r>
      <w:r w:rsidR="007765BC">
        <w:rPr>
          <w:lang w:val="en-US"/>
        </w:rPr>
        <w:t xml:space="preserve"> had been raped, 29% were rejected by their families and 6% by their communities (Kelly et al. 2011), often based on a sense that they were contaminated by disease. They therefore concluded that sexual violence can not only have physiological and psychological health effects, it can also destroy family and community structures.  Another study base</w:t>
      </w:r>
      <w:r w:rsidR="00BB1428">
        <w:rPr>
          <w:lang w:val="en-US"/>
        </w:rPr>
        <w:t>d on treated patients at Panzi H</w:t>
      </w:r>
      <w:r w:rsidR="007765BC">
        <w:rPr>
          <w:lang w:val="en-US"/>
        </w:rPr>
        <w:t xml:space="preserve">ospital has also found that several extreme forms of sexual violence were reported, that </w:t>
      </w:r>
      <w:r w:rsidR="00BB1428">
        <w:rPr>
          <w:lang w:val="en-US"/>
        </w:rPr>
        <w:t xml:space="preserve">there was </w:t>
      </w:r>
      <w:r w:rsidR="007765BC" w:rsidRPr="00F81E29">
        <w:rPr>
          <w:lang w:val="en-US"/>
        </w:rPr>
        <w:t>intentional transmission of sexually transmitted</w:t>
      </w:r>
      <w:r w:rsidR="007765BC">
        <w:rPr>
          <w:lang w:val="en-US"/>
        </w:rPr>
        <w:t xml:space="preserve"> </w:t>
      </w:r>
      <w:r w:rsidR="007765BC" w:rsidRPr="00F81E29">
        <w:rPr>
          <w:lang w:val="en-US"/>
        </w:rPr>
        <w:t xml:space="preserve">diseases such as </w:t>
      </w:r>
      <w:r w:rsidR="007765BC" w:rsidRPr="00F81E29">
        <w:rPr>
          <w:lang w:val="en-US"/>
        </w:rPr>
        <w:lastRenderedPageBreak/>
        <w:t>chlamydia and</w:t>
      </w:r>
      <w:r w:rsidR="007765BC">
        <w:rPr>
          <w:lang w:val="en-US"/>
        </w:rPr>
        <w:t xml:space="preserve"> </w:t>
      </w:r>
      <w:r w:rsidR="007765BC" w:rsidRPr="00F81E29">
        <w:rPr>
          <w:lang w:val="en-US"/>
        </w:rPr>
        <w:t>HIV</w:t>
      </w:r>
      <w:r w:rsidR="007765BC">
        <w:rPr>
          <w:lang w:val="en-US"/>
        </w:rPr>
        <w:t xml:space="preserve">, and that there were </w:t>
      </w:r>
      <w:r w:rsidR="007765BC" w:rsidRPr="00FA0DBC">
        <w:rPr>
          <w:lang w:val="en-US"/>
        </w:rPr>
        <w:t>challenges associated with socioeconomic reintegration</w:t>
      </w:r>
      <w:r w:rsidR="007765BC">
        <w:rPr>
          <w:lang w:val="en-US"/>
        </w:rPr>
        <w:t xml:space="preserve"> (Mukwege and Nangini 2009). </w:t>
      </w:r>
    </w:p>
    <w:p w14:paraId="206ADE2A" w14:textId="31E25279" w:rsidR="00312BCC" w:rsidRPr="00312BCC" w:rsidRDefault="00312BCC" w:rsidP="00312BCC">
      <w:pPr>
        <w:ind w:firstLine="709"/>
        <w:rPr>
          <w:lang w:val="en-US"/>
        </w:rPr>
      </w:pPr>
      <w:r>
        <w:rPr>
          <w:lang w:val="en-US"/>
        </w:rPr>
        <w:t xml:space="preserve">Evaluations of programs and their impact are often lacking, and proper experimental designs are difficult to carry out for a variety of pragmatic and ethical reasons. Findings to date are therefore few and unclear. In one study, </w:t>
      </w:r>
      <w:r w:rsidRPr="00312BCC">
        <w:rPr>
          <w:lang w:val="en-US"/>
        </w:rPr>
        <w:t xml:space="preserve">Bolton </w:t>
      </w:r>
      <w:r>
        <w:rPr>
          <w:lang w:val="en-US"/>
        </w:rPr>
        <w:t xml:space="preserve">(2009) </w:t>
      </w:r>
      <w:r w:rsidRPr="00312BCC">
        <w:rPr>
          <w:lang w:val="en-US"/>
        </w:rPr>
        <w:t>evaluat</w:t>
      </w:r>
      <w:r>
        <w:rPr>
          <w:lang w:val="en-US"/>
        </w:rPr>
        <w:t>es</w:t>
      </w:r>
      <w:r w:rsidRPr="00312BCC">
        <w:rPr>
          <w:lang w:val="en-US"/>
        </w:rPr>
        <w:t xml:space="preserve"> psychosocial activities implemented by</w:t>
      </w:r>
      <w:r>
        <w:rPr>
          <w:lang w:val="en-US"/>
        </w:rPr>
        <w:t xml:space="preserve"> </w:t>
      </w:r>
      <w:r w:rsidRPr="00312BCC">
        <w:rPr>
          <w:lang w:val="en-US"/>
        </w:rPr>
        <w:t>the International Rescue Committee (IRC) in South Kivu,</w:t>
      </w:r>
      <w:r>
        <w:rPr>
          <w:lang w:val="en-US"/>
        </w:rPr>
        <w:t xml:space="preserve"> and </w:t>
      </w:r>
      <w:r w:rsidRPr="00312BCC">
        <w:rPr>
          <w:lang w:val="en-US"/>
        </w:rPr>
        <w:t>explored local concepts of psychosocial problems</w:t>
      </w:r>
      <w:r>
        <w:rPr>
          <w:lang w:val="en-US"/>
        </w:rPr>
        <w:t xml:space="preserve"> </w:t>
      </w:r>
      <w:r w:rsidRPr="00312BCC">
        <w:rPr>
          <w:lang w:val="en-US"/>
        </w:rPr>
        <w:t>related to gender-based violence and functioning. At baseline, women reported particularly high levels of impairment</w:t>
      </w:r>
      <w:r>
        <w:rPr>
          <w:lang w:val="en-US"/>
        </w:rPr>
        <w:t xml:space="preserve"> </w:t>
      </w:r>
      <w:r w:rsidRPr="00312BCC">
        <w:rPr>
          <w:lang w:val="en-US"/>
        </w:rPr>
        <w:t>in functioning (e.g. farming, trading, cooking,</w:t>
      </w:r>
      <w:r>
        <w:rPr>
          <w:lang w:val="en-US"/>
        </w:rPr>
        <w:t xml:space="preserve"> </w:t>
      </w:r>
      <w:r w:rsidRPr="00312BCC">
        <w:rPr>
          <w:lang w:val="en-US"/>
        </w:rPr>
        <w:t xml:space="preserve">looking after children), </w:t>
      </w:r>
      <w:r>
        <w:rPr>
          <w:lang w:val="en-US"/>
        </w:rPr>
        <w:t xml:space="preserve">as well as symptoms of </w:t>
      </w:r>
      <w:r w:rsidRPr="00312BCC">
        <w:rPr>
          <w:lang w:val="en-US"/>
        </w:rPr>
        <w:t xml:space="preserve">anxiety and fear. </w:t>
      </w:r>
      <w:r>
        <w:rPr>
          <w:lang w:val="en-US"/>
        </w:rPr>
        <w:t>A</w:t>
      </w:r>
      <w:r w:rsidRPr="00312BCC">
        <w:rPr>
          <w:lang w:val="en-US"/>
        </w:rPr>
        <w:t>t follow-up assessments</w:t>
      </w:r>
      <w:r>
        <w:rPr>
          <w:lang w:val="en-US"/>
        </w:rPr>
        <w:t xml:space="preserve">, they </w:t>
      </w:r>
      <w:r w:rsidRPr="00312BCC">
        <w:rPr>
          <w:lang w:val="en-US"/>
        </w:rPr>
        <w:t>reported substantial improvements in</w:t>
      </w:r>
      <w:r>
        <w:rPr>
          <w:lang w:val="en-US"/>
        </w:rPr>
        <w:t xml:space="preserve"> </w:t>
      </w:r>
      <w:r w:rsidRPr="00312BCC">
        <w:rPr>
          <w:lang w:val="en-US"/>
        </w:rPr>
        <w:t>both functioning and symptomatology</w:t>
      </w:r>
      <w:r>
        <w:rPr>
          <w:lang w:val="en-US"/>
        </w:rPr>
        <w:t xml:space="preserve">. However, the study had significant weaknesses in research design in that, </w:t>
      </w:r>
      <w:r w:rsidRPr="00312BCC">
        <w:rPr>
          <w:lang w:val="en-US"/>
        </w:rPr>
        <w:t>in addition to the lack of a control group, the type of</w:t>
      </w:r>
      <w:r>
        <w:rPr>
          <w:lang w:val="en-US"/>
        </w:rPr>
        <w:t xml:space="preserve"> </w:t>
      </w:r>
      <w:r w:rsidRPr="00312BCC">
        <w:rPr>
          <w:lang w:val="en-US"/>
        </w:rPr>
        <w:t xml:space="preserve">interventions </w:t>
      </w:r>
      <w:r>
        <w:rPr>
          <w:lang w:val="en-US"/>
        </w:rPr>
        <w:t xml:space="preserve">and the implementing partners involved </w:t>
      </w:r>
      <w:r w:rsidRPr="00312BCC">
        <w:rPr>
          <w:lang w:val="en-US"/>
        </w:rPr>
        <w:t>changed between the start and closure of the</w:t>
      </w:r>
      <w:r>
        <w:rPr>
          <w:lang w:val="en-US"/>
        </w:rPr>
        <w:t xml:space="preserve"> </w:t>
      </w:r>
      <w:r w:rsidRPr="00312BCC">
        <w:rPr>
          <w:lang w:val="en-US"/>
        </w:rPr>
        <w:t>study, making it hard to infer</w:t>
      </w:r>
      <w:r>
        <w:rPr>
          <w:lang w:val="en-US"/>
        </w:rPr>
        <w:t xml:space="preserve"> </w:t>
      </w:r>
      <w:r w:rsidRPr="00312BCC">
        <w:rPr>
          <w:lang w:val="en-US"/>
        </w:rPr>
        <w:t>which intervention was responsible for changes over time.</w:t>
      </w:r>
      <w:r w:rsidR="00A01053">
        <w:rPr>
          <w:lang w:val="en-US"/>
        </w:rPr>
        <w:t xml:space="preserve"> In a more recent study, Bass et al (</w:t>
      </w:r>
      <w:r w:rsidR="00A01053" w:rsidRPr="006B1C42">
        <w:rPr>
          <w:lang w:val="en-US"/>
        </w:rPr>
        <w:t>2013</w:t>
      </w:r>
      <w:r w:rsidR="00A01053">
        <w:rPr>
          <w:lang w:val="en-US"/>
        </w:rPr>
        <w:t>) did a controlled trial of psychotherapy for Congolese survivors of sexual violence</w:t>
      </w:r>
      <w:r w:rsidR="00A01053" w:rsidRPr="006B1C42">
        <w:rPr>
          <w:lang w:val="en-US"/>
        </w:rPr>
        <w:t>.</w:t>
      </w:r>
      <w:r w:rsidR="00A01053">
        <w:rPr>
          <w:lang w:val="en-US"/>
        </w:rPr>
        <w:t xml:space="preserve"> They report m</w:t>
      </w:r>
      <w:r w:rsidR="00A01053" w:rsidRPr="006B1C42">
        <w:rPr>
          <w:lang w:val="en-US"/>
        </w:rPr>
        <w:t>ean scores for combined depression and anxiety [range 0-3] improved in the individual-support group (2.2 at baseline, 1.7 at the end of treatment, and 1.5 at 6 months after treatment), but improvements were significantly</w:t>
      </w:r>
      <w:r w:rsidR="00A01053">
        <w:rPr>
          <w:lang w:val="en-US"/>
        </w:rPr>
        <w:t xml:space="preserve"> </w:t>
      </w:r>
      <w:r w:rsidR="00A01053" w:rsidRPr="006B1C42">
        <w:rPr>
          <w:lang w:val="en-US"/>
        </w:rPr>
        <w:t>greater in the therapy group (2.0 at baseline, 0.8 at the end of treatment, and 0.7 at 6 months after treatment) (P&lt;0.001 for all comparisons).</w:t>
      </w:r>
    </w:p>
    <w:p w14:paraId="6AE3FB07" w14:textId="3776EACC" w:rsidR="00DC679F" w:rsidRDefault="007765BC" w:rsidP="00CD37AE">
      <w:pPr>
        <w:ind w:firstLine="709"/>
        <w:rPr>
          <w:lang w:val="en-US"/>
        </w:rPr>
      </w:pPr>
      <w:r>
        <w:rPr>
          <w:lang w:val="en-US"/>
        </w:rPr>
        <w:t xml:space="preserve">One broader </w:t>
      </w:r>
      <w:r w:rsidRPr="005F7C19">
        <w:rPr>
          <w:lang w:val="en-US"/>
        </w:rPr>
        <w:t xml:space="preserve">systematic review of the academic and grey literature on </w:t>
      </w:r>
      <w:r>
        <w:rPr>
          <w:lang w:val="en-US"/>
        </w:rPr>
        <w:t>“</w:t>
      </w:r>
      <w:r w:rsidRPr="005F7C19">
        <w:rPr>
          <w:lang w:val="en-US"/>
        </w:rPr>
        <w:t>the effectiveness of mental health and psychosocial support interventions for populations exposed to sexual and other forms of gender-based violence in the context of armed conflicts</w:t>
      </w:r>
      <w:r>
        <w:rPr>
          <w:lang w:val="en-US"/>
        </w:rPr>
        <w:t>” (Tol et al. 2013: 1) found that there were only very few and limited studies on this topic. The meta-analysis</w:t>
      </w:r>
      <w:r w:rsidRPr="005F7C19">
        <w:rPr>
          <w:lang w:val="en-US"/>
        </w:rPr>
        <w:t xml:space="preserve"> suggest</w:t>
      </w:r>
      <w:r>
        <w:rPr>
          <w:lang w:val="en-US"/>
        </w:rPr>
        <w:t>ed</w:t>
      </w:r>
      <w:r w:rsidRPr="005F7C19">
        <w:rPr>
          <w:lang w:val="en-US"/>
        </w:rPr>
        <w:t xml:space="preserve"> beneficial effects of mental health and</w:t>
      </w:r>
      <w:r>
        <w:rPr>
          <w:lang w:val="en-US"/>
        </w:rPr>
        <w:t xml:space="preserve"> </w:t>
      </w:r>
      <w:r w:rsidRPr="005F7C19">
        <w:rPr>
          <w:lang w:val="en-US"/>
        </w:rPr>
        <w:t xml:space="preserve">psychosocial interventions, and </w:t>
      </w:r>
      <w:r>
        <w:rPr>
          <w:lang w:val="en-US"/>
        </w:rPr>
        <w:t xml:space="preserve">that </w:t>
      </w:r>
      <w:r w:rsidRPr="005F7C19">
        <w:rPr>
          <w:lang w:val="en-US"/>
        </w:rPr>
        <w:t>evaluation of such</w:t>
      </w:r>
      <w:r>
        <w:rPr>
          <w:lang w:val="en-US"/>
        </w:rPr>
        <w:t xml:space="preserve"> </w:t>
      </w:r>
      <w:r w:rsidRPr="005F7C19">
        <w:rPr>
          <w:lang w:val="en-US"/>
        </w:rPr>
        <w:t xml:space="preserve">interventions in real-life settings </w:t>
      </w:r>
      <w:r>
        <w:rPr>
          <w:lang w:val="en-US"/>
        </w:rPr>
        <w:t xml:space="preserve">would be feasible </w:t>
      </w:r>
      <w:r w:rsidRPr="005F7C19">
        <w:rPr>
          <w:lang w:val="en-US"/>
        </w:rPr>
        <w:t xml:space="preserve">through partnerships with humanitarian organizations. </w:t>
      </w:r>
      <w:r>
        <w:rPr>
          <w:lang w:val="en-US"/>
        </w:rPr>
        <w:t xml:space="preserve">However, on the basis of the existing </w:t>
      </w:r>
      <w:r w:rsidRPr="005F7C19">
        <w:rPr>
          <w:lang w:val="en-US"/>
        </w:rPr>
        <w:t>evidence</w:t>
      </w:r>
      <w:r>
        <w:rPr>
          <w:lang w:val="en-US"/>
        </w:rPr>
        <w:t>, it was not possible to make r</w:t>
      </w:r>
      <w:r w:rsidRPr="005F7C19">
        <w:rPr>
          <w:lang w:val="en-US"/>
        </w:rPr>
        <w:t>obust conclusions on the</w:t>
      </w:r>
      <w:r>
        <w:rPr>
          <w:lang w:val="en-US"/>
        </w:rPr>
        <w:t xml:space="preserve"> </w:t>
      </w:r>
      <w:r w:rsidRPr="005F7C19">
        <w:rPr>
          <w:lang w:val="en-US"/>
        </w:rPr>
        <w:t xml:space="preserve">effectiveness of particular approaches </w:t>
      </w:r>
      <w:r>
        <w:rPr>
          <w:lang w:val="en-US"/>
        </w:rPr>
        <w:t>in various support interventions for populations affected by sexual violence in conflict zones</w:t>
      </w:r>
      <w:r w:rsidRPr="005F7C19">
        <w:rPr>
          <w:lang w:val="en-US"/>
        </w:rPr>
        <w:t xml:space="preserve">. </w:t>
      </w:r>
      <w:r>
        <w:rPr>
          <w:lang w:val="en-US"/>
        </w:rPr>
        <w:t>The authors therefore concluded that more rigorous research was urgently needed</w:t>
      </w:r>
      <w:r w:rsidRPr="005F7C19">
        <w:rPr>
          <w:lang w:val="en-US"/>
        </w:rPr>
        <w:t>.</w:t>
      </w:r>
      <w:r>
        <w:rPr>
          <w:lang w:val="en-US"/>
        </w:rPr>
        <w:t xml:space="preserve"> This paper provides one such rigorous assessment of how support to female survivors of sexual violence affects their sense of </w:t>
      </w:r>
      <w:r w:rsidRPr="00197FD0">
        <w:rPr>
          <w:lang w:val="en-US"/>
        </w:rPr>
        <w:t xml:space="preserve">exclusion </w:t>
      </w:r>
      <w:r>
        <w:rPr>
          <w:lang w:val="en-US"/>
        </w:rPr>
        <w:t>specifically</w:t>
      </w:r>
      <w:r w:rsidR="00CD37AE">
        <w:rPr>
          <w:lang w:val="en-US"/>
        </w:rPr>
        <w:t xml:space="preserve">, as well as their sense of improvement in economic wellbeing. </w:t>
      </w:r>
      <w:r w:rsidR="00312BCC">
        <w:rPr>
          <w:lang w:val="en-US"/>
        </w:rPr>
        <w:t>The focus is on women in eastern DR</w:t>
      </w:r>
      <w:r w:rsidR="00EB34AE">
        <w:rPr>
          <w:lang w:val="en-US"/>
        </w:rPr>
        <w:t xml:space="preserve"> </w:t>
      </w:r>
      <w:r w:rsidR="00312BCC">
        <w:rPr>
          <w:lang w:val="en-US"/>
        </w:rPr>
        <w:t>C</w:t>
      </w:r>
      <w:r w:rsidR="00EB34AE">
        <w:rPr>
          <w:lang w:val="en-US"/>
        </w:rPr>
        <w:t>ongo</w:t>
      </w:r>
      <w:r w:rsidR="00CD37AE">
        <w:rPr>
          <w:lang w:val="en-US"/>
        </w:rPr>
        <w:t>, but</w:t>
      </w:r>
      <w:r w:rsidR="00312BCC">
        <w:rPr>
          <w:lang w:val="en-US"/>
        </w:rPr>
        <w:t xml:space="preserve"> in particular the situation for female survivors of sexual violence versus women in general. </w:t>
      </w:r>
      <w:r w:rsidR="0045492D">
        <w:rPr>
          <w:lang w:val="en-US"/>
        </w:rPr>
        <w:t>Our</w:t>
      </w:r>
      <w:r w:rsidR="00DC679F">
        <w:rPr>
          <w:lang w:val="en-US"/>
        </w:rPr>
        <w:t xml:space="preserve"> first,</w:t>
      </w:r>
      <w:r>
        <w:rPr>
          <w:lang w:val="en-US"/>
        </w:rPr>
        <w:t xml:space="preserve"> </w:t>
      </w:r>
      <w:r w:rsidR="00312BCC">
        <w:rPr>
          <w:lang w:val="en-US"/>
        </w:rPr>
        <w:t xml:space="preserve">basic </w:t>
      </w:r>
      <w:r>
        <w:rPr>
          <w:lang w:val="en-US"/>
        </w:rPr>
        <w:t xml:space="preserve">hypothesis based on </w:t>
      </w:r>
      <w:r>
        <w:rPr>
          <w:lang w:val="en-US"/>
        </w:rPr>
        <w:lastRenderedPageBreak/>
        <w:t>existing qualitative data and some systematic studies is that survivors of sexual violence are likely to feel more socially excluded than non-survivors</w:t>
      </w:r>
      <w:r w:rsidR="00DC679F">
        <w:rPr>
          <w:lang w:val="en-US"/>
        </w:rPr>
        <w:t>:</w:t>
      </w:r>
      <w:r w:rsidR="0067717E">
        <w:rPr>
          <w:lang w:val="en-US"/>
        </w:rPr>
        <w:t xml:space="preserve"> </w:t>
      </w:r>
    </w:p>
    <w:p w14:paraId="08A2557D" w14:textId="77777777" w:rsidR="004C6557" w:rsidRDefault="004C6557" w:rsidP="00197FD0">
      <w:pPr>
        <w:ind w:firstLine="0"/>
        <w:rPr>
          <w:lang w:val="en-US"/>
        </w:rPr>
      </w:pPr>
    </w:p>
    <w:p w14:paraId="1A445B08" w14:textId="7B597BBE" w:rsidR="007765BC" w:rsidRDefault="00966BDD" w:rsidP="00197FD0">
      <w:pPr>
        <w:ind w:firstLine="0"/>
        <w:rPr>
          <w:i/>
          <w:lang w:val="en-US"/>
        </w:rPr>
      </w:pPr>
      <w:r w:rsidRPr="00197FD0">
        <w:rPr>
          <w:b/>
          <w:i/>
          <w:lang w:val="en-US"/>
        </w:rPr>
        <w:t>H1</w:t>
      </w:r>
      <w:r>
        <w:rPr>
          <w:i/>
          <w:lang w:val="en-US"/>
        </w:rPr>
        <w:t xml:space="preserve">: </w:t>
      </w:r>
      <w:r w:rsidR="0045492D" w:rsidRPr="00197FD0">
        <w:rPr>
          <w:i/>
          <w:lang w:val="en-US"/>
        </w:rPr>
        <w:t>S</w:t>
      </w:r>
      <w:r w:rsidR="0045492D">
        <w:rPr>
          <w:i/>
          <w:lang w:val="en-US"/>
        </w:rPr>
        <w:t xml:space="preserve">exual violence </w:t>
      </w:r>
      <w:r w:rsidR="007765BC" w:rsidRPr="00197FD0">
        <w:rPr>
          <w:i/>
          <w:lang w:val="en-US"/>
        </w:rPr>
        <w:t xml:space="preserve">survivors are </w:t>
      </w:r>
      <w:r w:rsidR="004C6557">
        <w:rPr>
          <w:i/>
          <w:lang w:val="en-US"/>
        </w:rPr>
        <w:t>less</w:t>
      </w:r>
      <w:r w:rsidR="004C6557" w:rsidRPr="00197FD0">
        <w:rPr>
          <w:i/>
          <w:lang w:val="en-US"/>
        </w:rPr>
        <w:t xml:space="preserve"> </w:t>
      </w:r>
      <w:r w:rsidR="007765BC" w:rsidRPr="00197FD0">
        <w:rPr>
          <w:i/>
          <w:lang w:val="en-US"/>
        </w:rPr>
        <w:t xml:space="preserve">likely to feel socially </w:t>
      </w:r>
      <w:r w:rsidR="004C6557">
        <w:rPr>
          <w:i/>
          <w:lang w:val="en-US"/>
        </w:rPr>
        <w:t xml:space="preserve">included </w:t>
      </w:r>
      <w:r w:rsidR="007765BC" w:rsidRPr="00197FD0">
        <w:rPr>
          <w:i/>
          <w:lang w:val="en-US"/>
        </w:rPr>
        <w:t xml:space="preserve">than women who have not experienced conflict-related </w:t>
      </w:r>
      <w:r w:rsidR="0045492D">
        <w:rPr>
          <w:i/>
          <w:lang w:val="en-US"/>
        </w:rPr>
        <w:t>sexual violence</w:t>
      </w:r>
      <w:r w:rsidR="007765BC" w:rsidRPr="00197FD0">
        <w:rPr>
          <w:i/>
          <w:lang w:val="en-US"/>
        </w:rPr>
        <w:t>.</w:t>
      </w:r>
    </w:p>
    <w:p w14:paraId="6BBFE796" w14:textId="77777777" w:rsidR="0045492D" w:rsidRDefault="0045492D" w:rsidP="00197FD0">
      <w:pPr>
        <w:ind w:firstLine="0"/>
        <w:rPr>
          <w:lang w:val="en-US"/>
        </w:rPr>
      </w:pPr>
    </w:p>
    <w:p w14:paraId="56916F26" w14:textId="16B40D99" w:rsidR="004C6557" w:rsidRDefault="00DC679F" w:rsidP="00DC679F">
      <w:pPr>
        <w:ind w:firstLine="0"/>
        <w:rPr>
          <w:lang w:val="en-US"/>
        </w:rPr>
      </w:pPr>
      <w:r>
        <w:rPr>
          <w:lang w:val="en-US"/>
        </w:rPr>
        <w:t xml:space="preserve">The intention of the many programs that exist to support survivors of sexual violence is both to improve their economic situation and to reduce the stigma of survivors. </w:t>
      </w:r>
      <w:r w:rsidR="004C6557">
        <w:rPr>
          <w:lang w:val="en-US"/>
        </w:rPr>
        <w:t>However, many of the programs target not only survivors but also other “vulnerable” women, as defined by poverty, health needs</w:t>
      </w:r>
      <w:r w:rsidR="000A19B6">
        <w:rPr>
          <w:lang w:val="en-US"/>
        </w:rPr>
        <w:t>,</w:t>
      </w:r>
      <w:r w:rsidR="004C6557">
        <w:rPr>
          <w:lang w:val="en-US"/>
        </w:rPr>
        <w:t xml:space="preserve"> etc. Part of the rationale behind this is also to avoid that the programs are associated with survivors of sexual violence only, which could lead to increased stigma. In any case, we expect</w:t>
      </w:r>
      <w:r w:rsidR="00CD37AE">
        <w:rPr>
          <w:lang w:val="en-US"/>
        </w:rPr>
        <w:t xml:space="preserve">, based on the stated intensions of the support programs to improve inclusion and livelihoods of their beneficiaries </w:t>
      </w:r>
      <w:r w:rsidR="004C6557">
        <w:rPr>
          <w:lang w:val="en-US"/>
        </w:rPr>
        <w:t xml:space="preserve">that the programs have an overall positive effect (both for survivors and non-survivors) with regard to perceptions of social inclusion AND improved economic wellbeing. Hence, we </w:t>
      </w:r>
      <w:r w:rsidR="00CD37AE">
        <w:rPr>
          <w:lang w:val="en-US"/>
        </w:rPr>
        <w:t xml:space="preserve">will test </w:t>
      </w:r>
      <w:r w:rsidR="004C6557">
        <w:rPr>
          <w:lang w:val="en-US"/>
        </w:rPr>
        <w:t>the following hypotheses:</w:t>
      </w:r>
    </w:p>
    <w:p w14:paraId="46AED238" w14:textId="77777777" w:rsidR="004C6557" w:rsidRDefault="004C6557" w:rsidP="00DC679F">
      <w:pPr>
        <w:ind w:firstLine="0"/>
        <w:rPr>
          <w:lang w:val="en-US"/>
        </w:rPr>
      </w:pPr>
    </w:p>
    <w:p w14:paraId="2B3AF31E" w14:textId="4F043715" w:rsidR="004C6557" w:rsidRDefault="004C6557" w:rsidP="004C6557">
      <w:pPr>
        <w:ind w:firstLine="0"/>
        <w:rPr>
          <w:i/>
          <w:lang w:val="en-US"/>
        </w:rPr>
      </w:pPr>
      <w:r w:rsidRPr="00197FD0">
        <w:rPr>
          <w:b/>
          <w:i/>
          <w:lang w:val="en-US"/>
        </w:rPr>
        <w:t>H</w:t>
      </w:r>
      <w:r>
        <w:rPr>
          <w:b/>
          <w:i/>
          <w:lang w:val="en-US"/>
        </w:rPr>
        <w:t>2a</w:t>
      </w:r>
      <w:r>
        <w:rPr>
          <w:i/>
          <w:lang w:val="en-US"/>
        </w:rPr>
        <w:t>: Program beneficiaries</w:t>
      </w:r>
      <w:r w:rsidRPr="00197FD0">
        <w:rPr>
          <w:i/>
          <w:lang w:val="en-US"/>
        </w:rPr>
        <w:t xml:space="preserve"> are more likely to feel socially </w:t>
      </w:r>
      <w:r>
        <w:rPr>
          <w:i/>
          <w:lang w:val="en-US"/>
        </w:rPr>
        <w:t>included</w:t>
      </w:r>
      <w:r w:rsidRPr="00197FD0">
        <w:rPr>
          <w:i/>
          <w:lang w:val="en-US"/>
        </w:rPr>
        <w:t xml:space="preserve"> than women </w:t>
      </w:r>
      <w:r>
        <w:rPr>
          <w:i/>
          <w:lang w:val="en-US"/>
        </w:rPr>
        <w:t>who have not benefited from such programs</w:t>
      </w:r>
      <w:r w:rsidR="004F0A3C">
        <w:rPr>
          <w:i/>
          <w:lang w:val="en-US"/>
        </w:rPr>
        <w:t>.</w:t>
      </w:r>
    </w:p>
    <w:p w14:paraId="1509152C" w14:textId="0E28CC59" w:rsidR="004C6557" w:rsidRDefault="004C6557" w:rsidP="004C6557">
      <w:pPr>
        <w:ind w:firstLine="0"/>
        <w:rPr>
          <w:i/>
          <w:lang w:val="en-US"/>
        </w:rPr>
      </w:pPr>
      <w:r w:rsidRPr="00197FD0">
        <w:rPr>
          <w:b/>
          <w:i/>
          <w:lang w:val="en-US"/>
        </w:rPr>
        <w:t>H</w:t>
      </w:r>
      <w:r>
        <w:rPr>
          <w:b/>
          <w:i/>
          <w:lang w:val="en-US"/>
        </w:rPr>
        <w:t>2</w:t>
      </w:r>
      <w:r w:rsidR="004F0A3C">
        <w:rPr>
          <w:b/>
          <w:i/>
          <w:lang w:val="en-US"/>
        </w:rPr>
        <w:t>b</w:t>
      </w:r>
      <w:r>
        <w:rPr>
          <w:i/>
          <w:lang w:val="en-US"/>
        </w:rPr>
        <w:t>: Program beneficiaries</w:t>
      </w:r>
      <w:r w:rsidRPr="00197FD0">
        <w:rPr>
          <w:i/>
          <w:lang w:val="en-US"/>
        </w:rPr>
        <w:t xml:space="preserve"> are more likely to </w:t>
      </w:r>
      <w:r>
        <w:rPr>
          <w:i/>
          <w:lang w:val="en-US"/>
        </w:rPr>
        <w:t>rate their economic living conditions as improved during the last year than women who have not benefited from such programs.</w:t>
      </w:r>
    </w:p>
    <w:p w14:paraId="760D7FE1" w14:textId="77777777" w:rsidR="000720E7" w:rsidRDefault="000720E7" w:rsidP="00B054B5">
      <w:pPr>
        <w:ind w:firstLine="0"/>
        <w:rPr>
          <w:lang w:val="en-US"/>
        </w:rPr>
      </w:pPr>
    </w:p>
    <w:p w14:paraId="0818F6E9" w14:textId="1352614F" w:rsidR="004C6557" w:rsidRDefault="004F0A3C" w:rsidP="00B054B5">
      <w:pPr>
        <w:ind w:firstLine="0"/>
        <w:rPr>
          <w:lang w:val="en-US"/>
        </w:rPr>
      </w:pPr>
      <w:r>
        <w:rPr>
          <w:lang w:val="en-US"/>
        </w:rPr>
        <w:t xml:space="preserve">However, although the programs reach out to vulnerable women in particular, they were made to support survivors of sexual violence in particular. </w:t>
      </w:r>
      <w:r w:rsidR="004C6557">
        <w:rPr>
          <w:lang w:val="en-US"/>
        </w:rPr>
        <w:t>Given the assumed higher level of social exclusion among survivors of sexual violence</w:t>
      </w:r>
      <w:r>
        <w:rPr>
          <w:lang w:val="en-US"/>
        </w:rPr>
        <w:t xml:space="preserve"> and the economic</w:t>
      </w:r>
      <w:r w:rsidR="000A19B6">
        <w:rPr>
          <w:lang w:val="en-US"/>
        </w:rPr>
        <w:t xml:space="preserve"> despair</w:t>
      </w:r>
      <w:r>
        <w:rPr>
          <w:lang w:val="en-US"/>
        </w:rPr>
        <w:t xml:space="preserve"> that often arise as a consequence of sexual violence (for example if women are abandoned by their husbands and extended families and need to take care of their children on their own)</w:t>
      </w:r>
      <w:r w:rsidR="004C6557">
        <w:rPr>
          <w:lang w:val="en-US"/>
        </w:rPr>
        <w:t>, we expect support programs to have a particular positive effect for survivors, both with regard to perceived social inclusion and perceived improvements in economic wellbeing. We hence propose the following hypotheses:</w:t>
      </w:r>
    </w:p>
    <w:p w14:paraId="409B5B25" w14:textId="77777777" w:rsidR="000720E7" w:rsidRDefault="000720E7" w:rsidP="00B054B5">
      <w:pPr>
        <w:ind w:firstLine="0"/>
        <w:rPr>
          <w:lang w:val="en-US"/>
        </w:rPr>
      </w:pPr>
    </w:p>
    <w:p w14:paraId="486D1F0D" w14:textId="623F64A2" w:rsidR="000720E7" w:rsidRDefault="004F0A3C" w:rsidP="00B054B5">
      <w:pPr>
        <w:ind w:firstLine="0"/>
        <w:rPr>
          <w:i/>
          <w:lang w:val="en-US"/>
        </w:rPr>
      </w:pPr>
      <w:r w:rsidRPr="00197FD0">
        <w:rPr>
          <w:b/>
          <w:i/>
          <w:lang w:val="en-US"/>
        </w:rPr>
        <w:t>H</w:t>
      </w:r>
      <w:r>
        <w:rPr>
          <w:b/>
          <w:i/>
          <w:lang w:val="en-US"/>
        </w:rPr>
        <w:t>3a</w:t>
      </w:r>
      <w:r>
        <w:rPr>
          <w:i/>
          <w:lang w:val="en-US"/>
        </w:rPr>
        <w:t>:  Support programs have a particular positive effect on perceived social inclusion for survivors compared to non-survivors</w:t>
      </w:r>
    </w:p>
    <w:p w14:paraId="705F16D4" w14:textId="0800449E" w:rsidR="000720E7" w:rsidRDefault="004F0A3C" w:rsidP="00B054B5">
      <w:pPr>
        <w:ind w:firstLine="0"/>
        <w:rPr>
          <w:lang w:val="en-US"/>
        </w:rPr>
      </w:pPr>
      <w:r w:rsidRPr="00197FD0">
        <w:rPr>
          <w:b/>
          <w:i/>
          <w:lang w:val="en-US"/>
        </w:rPr>
        <w:t>H</w:t>
      </w:r>
      <w:r>
        <w:rPr>
          <w:b/>
          <w:i/>
          <w:lang w:val="en-US"/>
        </w:rPr>
        <w:t>3a</w:t>
      </w:r>
      <w:r>
        <w:rPr>
          <w:i/>
          <w:lang w:val="en-US"/>
        </w:rPr>
        <w:t>: Support programs have a particular positive effect on perceived improved economic wellbeing for survivors compared to non-survivors</w:t>
      </w:r>
    </w:p>
    <w:p w14:paraId="3C245762" w14:textId="64EB0307" w:rsidR="0045492D" w:rsidRDefault="0045492D" w:rsidP="00DC679F">
      <w:pPr>
        <w:ind w:firstLine="0"/>
        <w:rPr>
          <w:lang w:val="en-US"/>
        </w:rPr>
      </w:pPr>
    </w:p>
    <w:p w14:paraId="5AA26EF1" w14:textId="3AFEA9D1" w:rsidR="00193DFF" w:rsidRPr="000D475F" w:rsidRDefault="00342325" w:rsidP="00193DFF">
      <w:pPr>
        <w:pStyle w:val="Heading1"/>
      </w:pPr>
      <w:r w:rsidRPr="000D475F">
        <w:t xml:space="preserve">Research design </w:t>
      </w:r>
    </w:p>
    <w:p w14:paraId="4F0AE49F" w14:textId="5868E3CB" w:rsidR="00342325" w:rsidRDefault="00342325" w:rsidP="00193DFF">
      <w:pPr>
        <w:ind w:firstLine="0"/>
        <w:rPr>
          <w:lang w:val="en-US"/>
        </w:rPr>
      </w:pPr>
      <w:r>
        <w:rPr>
          <w:lang w:val="en-US"/>
        </w:rPr>
        <w:t>To test our hypotheses, we have conducted a targeted survey of women in South Kivu province in Eastern DRC, as well as focus group interviews of survivors of sexual violence. We focus on t</w:t>
      </w:r>
      <w:r w:rsidR="00193DFF">
        <w:rPr>
          <w:lang w:val="en-US"/>
        </w:rPr>
        <w:t xml:space="preserve">wo main programs that support survivors of sexual violence </w:t>
      </w:r>
      <w:r>
        <w:rPr>
          <w:lang w:val="en-US"/>
        </w:rPr>
        <w:t>in</w:t>
      </w:r>
      <w:r w:rsidR="00193DFF">
        <w:rPr>
          <w:lang w:val="en-US"/>
        </w:rPr>
        <w:t xml:space="preserve"> this study, Dorcas Rurale and Ushindi. Both operate in South Kivu Province in eastern DRC. </w:t>
      </w:r>
      <w:r>
        <w:rPr>
          <w:lang w:val="en-US"/>
        </w:rPr>
        <w:t xml:space="preserve">Below, we describe a little of the selection process and activities of the programs.   </w:t>
      </w:r>
    </w:p>
    <w:p w14:paraId="6B52F8B3" w14:textId="1E7A879D" w:rsidR="00193DFF" w:rsidRPr="00680989" w:rsidRDefault="00193DFF" w:rsidP="00342325">
      <w:pPr>
        <w:ind w:firstLine="709"/>
        <w:rPr>
          <w:lang w:val="en-US"/>
        </w:rPr>
      </w:pPr>
      <w:r>
        <w:rPr>
          <w:lang w:val="en-US"/>
        </w:rPr>
        <w:t>Dorcas Rural (DR) recruited</w:t>
      </w:r>
      <w:r w:rsidRPr="00680989">
        <w:rPr>
          <w:lang w:val="en-US"/>
        </w:rPr>
        <w:t xml:space="preserve"> (i) female survivors of sexual violence or (ii) women with gynecological ailments who received medical care at Panzi general referral hospital, or (iii) women who </w:t>
      </w:r>
      <w:r>
        <w:rPr>
          <w:lang w:val="en-US"/>
        </w:rPr>
        <w:t>are</w:t>
      </w:r>
      <w:r w:rsidRPr="00680989">
        <w:rPr>
          <w:lang w:val="en-US"/>
        </w:rPr>
        <w:t xml:space="preserve"> identified as vulnerable based on self-reported indicators such as number of meals per day, number of children in school, marital status, and living conditions. DR provided participants with (i) a loan, (ii) seeds, (iii) livestock (pigs), (iv) school fees for up to two children, (v) training in income generating activities (soap- or basket-making), and (vi) literacy training. The initial loan was $30-50. Once repaid, another loan of $20-50 was given, and once that was repaid a final loan of $20-50 was given. DR also provided access to an agricultural training field within 15km of participants’ homes, which served as a gathering place for participants to discuss their daily challenges and strategies in addition to learning farming techniques. Finally, participants were also organized into savings groups and trained on budgeting separately for individual loans, public goods, and an emergency fund. These groups were open to non-participants as well. Women could participate in DR for up to 3 years.</w:t>
      </w:r>
    </w:p>
    <w:p w14:paraId="691BD93F" w14:textId="77777777" w:rsidR="00193DFF" w:rsidRPr="0000283D" w:rsidRDefault="00193DFF" w:rsidP="00193DFF">
      <w:pPr>
        <w:ind w:firstLine="709"/>
        <w:rPr>
          <w:lang w:val="en-US"/>
        </w:rPr>
      </w:pPr>
      <w:r>
        <w:rPr>
          <w:lang w:val="en-US"/>
        </w:rPr>
        <w:t>USHINDI</w:t>
      </w:r>
      <w:r w:rsidRPr="00680989">
        <w:rPr>
          <w:lang w:val="en-US"/>
        </w:rPr>
        <w:t xml:space="preserve"> recruited female survivors of SGBV who had been declared psychologically healthy (i.e.</w:t>
      </w:r>
      <w:r>
        <w:rPr>
          <w:lang w:val="en-US"/>
        </w:rPr>
        <w:t xml:space="preserve"> </w:t>
      </w:r>
      <w:r w:rsidRPr="00680989">
        <w:rPr>
          <w:lang w:val="en-US"/>
        </w:rPr>
        <w:t xml:space="preserve">lack of trauma) and identified as financially vulnerable. </w:t>
      </w:r>
      <w:r>
        <w:rPr>
          <w:lang w:val="en-US"/>
        </w:rPr>
        <w:t>USHINDI</w:t>
      </w:r>
      <w:r w:rsidRPr="00680989">
        <w:rPr>
          <w:lang w:val="en-US"/>
        </w:rPr>
        <w:t xml:space="preserve"> organized voluntary savings and loan associations (VSLA) and provided training in literacy, management, entrepreneurship, and leadership. Training lasted 6 months on average. Program support staff visited each VSLA for 12 months.</w:t>
      </w:r>
      <w:r>
        <w:rPr>
          <w:lang w:val="en-US"/>
        </w:rPr>
        <w:t xml:space="preserve"> There are also men and non-survivors involved in the USHINDI program, but the sample in the survey is only women (survivors and non-survivors). </w:t>
      </w:r>
    </w:p>
    <w:p w14:paraId="36004AB9" w14:textId="77777777" w:rsidR="00966BDD" w:rsidRDefault="00966BDD" w:rsidP="00197FD0">
      <w:pPr>
        <w:ind w:firstLine="0"/>
        <w:rPr>
          <w:i/>
          <w:lang w:val="en-US"/>
        </w:rPr>
      </w:pPr>
    </w:p>
    <w:p w14:paraId="79C49469" w14:textId="0ED5153C" w:rsidR="00B03BB3" w:rsidRPr="000D475F" w:rsidRDefault="00342325" w:rsidP="00CD37AE">
      <w:pPr>
        <w:pStyle w:val="Heading2"/>
        <w:numPr>
          <w:ilvl w:val="0"/>
          <w:numId w:val="0"/>
        </w:numPr>
        <w:ind w:left="567" w:hanging="567"/>
      </w:pPr>
      <w:r w:rsidRPr="000D475F">
        <w:t>3</w:t>
      </w:r>
      <w:r w:rsidR="00B03BB3" w:rsidRPr="000D475F">
        <w:t xml:space="preserve">.1 Data </w:t>
      </w:r>
    </w:p>
    <w:p w14:paraId="32715B1B" w14:textId="77777777" w:rsidR="008D7B01" w:rsidRDefault="00A95E19">
      <w:pPr>
        <w:ind w:firstLine="0"/>
        <w:rPr>
          <w:lang w:val="en-US"/>
        </w:rPr>
      </w:pPr>
      <w:r>
        <w:rPr>
          <w:lang w:val="en-US"/>
        </w:rPr>
        <w:t>In order to address the research questions and hypotheses presented above we surveyed 1,203 women aged 15-87 in South-Kivu during 2 July – 1 August 2015.  Since our point of departure is trying to assess the effectiveness of support programs directed at survivors of sexual violence and other “vulnerable” women</w:t>
      </w:r>
      <w:r w:rsidR="00504A34">
        <w:rPr>
          <w:lang w:val="en-US"/>
        </w:rPr>
        <w:t>,</w:t>
      </w:r>
      <w:r>
        <w:rPr>
          <w:lang w:val="en-US"/>
        </w:rPr>
        <w:t xml:space="preserve"> we </w:t>
      </w:r>
      <w:r w:rsidR="00504A34">
        <w:rPr>
          <w:lang w:val="en-US"/>
        </w:rPr>
        <w:t xml:space="preserve">surveyed two groups of </w:t>
      </w:r>
      <w:r>
        <w:rPr>
          <w:lang w:val="en-US"/>
        </w:rPr>
        <w:t>women (</w:t>
      </w:r>
      <w:r w:rsidR="00504A34">
        <w:rPr>
          <w:lang w:val="en-US"/>
        </w:rPr>
        <w:t xml:space="preserve">i) women </w:t>
      </w:r>
      <w:r>
        <w:rPr>
          <w:lang w:val="en-US"/>
        </w:rPr>
        <w:t xml:space="preserve">who had been </w:t>
      </w:r>
      <w:r>
        <w:rPr>
          <w:lang w:val="en-US"/>
        </w:rPr>
        <w:lastRenderedPageBreak/>
        <w:t>affiliated with Dorcas Rurale and USHINDI</w:t>
      </w:r>
      <w:r w:rsidR="00504A34">
        <w:rPr>
          <w:lang w:val="en-US"/>
        </w:rPr>
        <w:t xml:space="preserve"> (including both survivors and non-survivors)</w:t>
      </w:r>
      <w:r>
        <w:rPr>
          <w:lang w:val="en-US"/>
        </w:rPr>
        <w:t>,</w:t>
      </w:r>
      <w:r w:rsidR="00504A34">
        <w:rPr>
          <w:lang w:val="en-US"/>
        </w:rPr>
        <w:t xml:space="preserve"> and (ii) women from the same geographic areas who had not participated in either program. </w:t>
      </w:r>
      <w:r>
        <w:rPr>
          <w:lang w:val="en-US"/>
        </w:rPr>
        <w:t xml:space="preserve"> </w:t>
      </w:r>
      <w:r w:rsidR="009D1691">
        <w:rPr>
          <w:lang w:val="en-US"/>
        </w:rPr>
        <w:t xml:space="preserve"> From the lists of women who participated in the support programs, we randomly selected 889 to survey (452 from Dorcas Rurale in Kalehe, Kabare and Walungu territories and 437 from USHINDI in Mwenga territory</w:t>
      </w:r>
      <w:r w:rsidR="00747AF8">
        <w:rPr>
          <w:lang w:val="en-US"/>
        </w:rPr>
        <w:t>. Seven of the twelve Health Areas in which USHINDI operated were deemed inaccessible due to insecurity, therefore only randomly selected women from the other five Health Areas were interviewed</w:t>
      </w:r>
      <w:r w:rsidR="009D1691">
        <w:rPr>
          <w:lang w:val="en-US"/>
        </w:rPr>
        <w:t>)</w:t>
      </w:r>
      <w:r w:rsidR="00A01053">
        <w:rPr>
          <w:lang w:val="en-US"/>
        </w:rPr>
        <w:t>.</w:t>
      </w:r>
      <w:r w:rsidR="009D1691">
        <w:rPr>
          <w:lang w:val="en-US"/>
        </w:rPr>
        <w:t xml:space="preserve"> </w:t>
      </w:r>
    </w:p>
    <w:p w14:paraId="77613A60" w14:textId="0E9D3C68" w:rsidR="00A95E19" w:rsidRPr="006B1C42" w:rsidRDefault="009D1691" w:rsidP="000D475F">
      <w:pPr>
        <w:ind w:firstLine="709"/>
        <w:rPr>
          <w:lang w:val="en-US"/>
        </w:rPr>
      </w:pPr>
      <w:r>
        <w:rPr>
          <w:lang w:val="en-US"/>
        </w:rPr>
        <w:t xml:space="preserve">To </w:t>
      </w:r>
      <w:r w:rsidR="00884D89">
        <w:rPr>
          <w:lang w:val="en-US"/>
        </w:rPr>
        <w:t xml:space="preserve">compare support program participants with </w:t>
      </w:r>
      <w:r>
        <w:rPr>
          <w:lang w:val="en-US"/>
        </w:rPr>
        <w:t xml:space="preserve">women who had not participated, we selected a convenience sample of women in the same areas. </w:t>
      </w:r>
      <w:r w:rsidR="00E04AAB">
        <w:rPr>
          <w:lang w:val="en-US"/>
        </w:rPr>
        <w:t xml:space="preserve">These were women who were </w:t>
      </w:r>
      <w:r w:rsidR="0014396F">
        <w:rPr>
          <w:lang w:val="en-US"/>
        </w:rPr>
        <w:t xml:space="preserve">as </w:t>
      </w:r>
      <w:r w:rsidR="00E04AAB" w:rsidRPr="00A553BF">
        <w:rPr>
          <w:lang w:val="en-US"/>
        </w:rPr>
        <w:t xml:space="preserve">similar </w:t>
      </w:r>
      <w:r w:rsidR="0014396F">
        <w:rPr>
          <w:lang w:val="en-US"/>
        </w:rPr>
        <w:t xml:space="preserve">as possible </w:t>
      </w:r>
      <w:r w:rsidR="00E04AAB" w:rsidRPr="00A553BF">
        <w:rPr>
          <w:lang w:val="en-US"/>
        </w:rPr>
        <w:t>to the women in the support programs</w:t>
      </w:r>
      <w:r w:rsidR="007A671E" w:rsidRPr="00A553BF">
        <w:rPr>
          <w:lang w:val="en-US"/>
        </w:rPr>
        <w:t>.</w:t>
      </w:r>
      <w:r w:rsidR="00E04AAB" w:rsidRPr="00A553BF">
        <w:rPr>
          <w:lang w:val="en-US"/>
        </w:rPr>
        <w:t xml:space="preserve"> </w:t>
      </w:r>
      <w:r w:rsidRPr="00A553BF">
        <w:rPr>
          <w:lang w:val="en-US"/>
        </w:rPr>
        <w:t>Lists of village</w:t>
      </w:r>
      <w:r>
        <w:rPr>
          <w:lang w:val="en-US"/>
        </w:rPr>
        <w:t xml:space="preserve"> residents are extremely difficult and expensive to obtain in rural Congo (the last census was in 1984); therefore, we recruited adult women who we encountered in public areas in those areas. We interviewed a total of 314 women who did not participate in DR or USHINDI (although 63 of these reported that they had participated in some other support program). </w:t>
      </w:r>
    </w:p>
    <w:p w14:paraId="268CC81E" w14:textId="34A496F9" w:rsidR="00A42E15" w:rsidRDefault="00D520A1" w:rsidP="00A42E15">
      <w:pPr>
        <w:ind w:firstLine="709"/>
        <w:rPr>
          <w:lang w:val="en-US"/>
        </w:rPr>
      </w:pPr>
      <w:r>
        <w:rPr>
          <w:lang w:val="en-US"/>
        </w:rPr>
        <w:t>The map below shows the four territories from which re</w:t>
      </w:r>
      <w:r w:rsidR="00306416">
        <w:rPr>
          <w:lang w:val="en-US"/>
        </w:rPr>
        <w:t>spondents were sampled highlighted in red.</w:t>
      </w:r>
    </w:p>
    <w:p w14:paraId="01E5F115" w14:textId="17A6463E" w:rsidR="00610D97" w:rsidRDefault="00EF18F1" w:rsidP="0000283D">
      <w:pPr>
        <w:keepLines/>
        <w:jc w:val="right"/>
        <w:rPr>
          <w:lang w:val="en-US"/>
        </w:rPr>
      </w:pPr>
      <w:r w:rsidRPr="00A42CD9">
        <w:rPr>
          <w:noProof/>
          <w:lang w:val="en-US"/>
        </w:rPr>
        <w:drawing>
          <wp:anchor distT="0" distB="0" distL="114300" distR="114300" simplePos="0" relativeHeight="251658240" behindDoc="1" locked="0" layoutInCell="1" allowOverlap="1" wp14:anchorId="6611D953" wp14:editId="0431C676">
            <wp:simplePos x="0" y="0"/>
            <wp:positionH relativeFrom="column">
              <wp:posOffset>-576581</wp:posOffset>
            </wp:positionH>
            <wp:positionV relativeFrom="paragraph">
              <wp:posOffset>266383</wp:posOffset>
            </wp:positionV>
            <wp:extent cx="6048375" cy="3910012"/>
            <wp:effectExtent l="0" t="0" r="0" b="0"/>
            <wp:wrapNone/>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391001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74AD4">
        <w:rPr>
          <w:noProof/>
          <w:lang w:val="en-US"/>
        </w:rPr>
        <mc:AlternateContent>
          <mc:Choice Requires="wps">
            <w:drawing>
              <wp:anchor distT="0" distB="0" distL="114300" distR="114300" simplePos="0" relativeHeight="251659264" behindDoc="0" locked="0" layoutInCell="1" allowOverlap="1" wp14:anchorId="762E7FE6" wp14:editId="47467A19">
                <wp:simplePos x="0" y="0"/>
                <wp:positionH relativeFrom="column">
                  <wp:posOffset>1883713</wp:posOffset>
                </wp:positionH>
                <wp:positionV relativeFrom="paragraph">
                  <wp:posOffset>1527469</wp:posOffset>
                </wp:positionV>
                <wp:extent cx="346890" cy="0"/>
                <wp:effectExtent l="0" t="76200" r="15240" b="114300"/>
                <wp:wrapNone/>
                <wp:docPr id="2" name="Straight Arrow Connector 2"/>
                <wp:cNvGraphicFramePr/>
                <a:graphic xmlns:a="http://schemas.openxmlformats.org/drawingml/2006/main">
                  <a:graphicData uri="http://schemas.microsoft.com/office/word/2010/wordprocessingShape">
                    <wps:wsp>
                      <wps:cNvCnPr/>
                      <wps:spPr>
                        <a:xfrm>
                          <a:off x="0" y="0"/>
                          <a:ext cx="346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35AB56" id="_x0000_t32" coordsize="21600,21600" o:spt="32" o:oned="t" path="m,l21600,21600e" filled="f">
                <v:path arrowok="t" fillok="f" o:connecttype="none"/>
                <o:lock v:ext="edit" shapetype="t"/>
              </v:shapetype>
              <v:shape id="Straight Arrow Connector 2" o:spid="_x0000_s1026" type="#_x0000_t32" style="position:absolute;margin-left:148.3pt;margin-top:120.25pt;width:27.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" strokecolor="#4579b8 [3044]">
                <v:stroke endarrow="open"/>
              </v:shape>
            </w:pict>
          </mc:Fallback>
        </mc:AlternateContent>
      </w:r>
      <w:r w:rsidR="00A42CD9" w:rsidRPr="00610D97">
        <w:rPr>
          <w:noProof/>
          <w:lang w:val="en-US"/>
        </w:rPr>
        <w:drawing>
          <wp:inline distT="0" distB="0" distL="0" distR="0" wp14:anchorId="70C09648" wp14:editId="0C4AC14F">
            <wp:extent cx="5872348" cy="3781821"/>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711" cy="3787207"/>
                    </a:xfrm>
                    <a:prstGeom prst="rect">
                      <a:avLst/>
                    </a:prstGeom>
                    <a:noFill/>
                    <a:ln>
                      <a:noFill/>
                    </a:ln>
                    <a:effectLst/>
                    <a:extLst/>
                  </pic:spPr>
                </pic:pic>
              </a:graphicData>
            </a:graphic>
          </wp:inline>
        </w:drawing>
      </w:r>
    </w:p>
    <w:p w14:paraId="6D5E5F5C" w14:textId="77777777" w:rsidR="00D520A1" w:rsidRDefault="00D520A1" w:rsidP="00880955">
      <w:pPr>
        <w:keepLines/>
        <w:autoSpaceDE w:val="0"/>
        <w:autoSpaceDN w:val="0"/>
        <w:adjustRightInd w:val="0"/>
        <w:spacing w:line="240" w:lineRule="auto"/>
        <w:ind w:firstLine="0"/>
        <w:jc w:val="left"/>
        <w:rPr>
          <w:rFonts w:ascii="TimesNewRomanPSMT" w:hAnsi="TimesNewRomanPSMT" w:cs="TimesNewRomanPSMT"/>
          <w:sz w:val="26"/>
          <w:szCs w:val="26"/>
          <w:lang w:val="en-US" w:eastAsia="nb-NO"/>
        </w:rPr>
      </w:pPr>
    </w:p>
    <w:p w14:paraId="587D371F" w14:textId="1A4CDEE6" w:rsidR="00306416" w:rsidRDefault="00170ECA" w:rsidP="00880955">
      <w:pPr>
        <w:keepLines/>
        <w:ind w:firstLine="0"/>
        <w:rPr>
          <w:b/>
          <w:lang w:val="en-US"/>
        </w:rPr>
      </w:pPr>
      <w:r>
        <w:rPr>
          <w:b/>
          <w:lang w:val="en-US"/>
        </w:rPr>
        <w:t>Figure 1</w:t>
      </w:r>
      <w:r w:rsidR="00306416" w:rsidRPr="00674AD4">
        <w:rPr>
          <w:b/>
          <w:lang w:val="en-US"/>
        </w:rPr>
        <w:t xml:space="preserve">. </w:t>
      </w:r>
      <w:r w:rsidR="00306416">
        <w:rPr>
          <w:b/>
          <w:lang w:val="en-US"/>
        </w:rPr>
        <w:t>Sampled territories</w:t>
      </w:r>
      <w:r w:rsidR="00DC679F">
        <w:rPr>
          <w:b/>
          <w:lang w:val="en-US"/>
        </w:rPr>
        <w:t xml:space="preserve"> in South Kivu</w:t>
      </w:r>
    </w:p>
    <w:p w14:paraId="246D640E" w14:textId="77777777" w:rsidR="00312BCC" w:rsidRDefault="00312BCC" w:rsidP="00306416">
      <w:pPr>
        <w:ind w:firstLine="0"/>
        <w:rPr>
          <w:lang w:val="en-US"/>
        </w:rPr>
      </w:pPr>
    </w:p>
    <w:p w14:paraId="1071FEBE" w14:textId="7BE4D887" w:rsidR="00862FD2" w:rsidRDefault="009D1691" w:rsidP="00C8442E">
      <w:pPr>
        <w:ind w:firstLine="567"/>
        <w:rPr>
          <w:highlight w:val="yellow"/>
          <w:lang w:val="en-US"/>
        </w:rPr>
      </w:pPr>
      <w:r>
        <w:rPr>
          <w:lang w:val="en-US"/>
        </w:rPr>
        <w:lastRenderedPageBreak/>
        <w:t>We recruited twelve women in Bukavu with university degrees to serve as enumerators</w:t>
      </w:r>
      <w:r w:rsidR="00CD37AE">
        <w:rPr>
          <w:lang w:val="en-US"/>
        </w:rPr>
        <w:t xml:space="preserve">, and they were subsequently trained in </w:t>
      </w:r>
      <w:r w:rsidR="00BC01F5">
        <w:rPr>
          <w:lang w:val="en-US"/>
        </w:rPr>
        <w:t xml:space="preserve">survey technique, </w:t>
      </w:r>
      <w:r w:rsidR="00CD37AE">
        <w:rPr>
          <w:lang w:val="en-US"/>
        </w:rPr>
        <w:t>research ethics, and for conducting the particular survey</w:t>
      </w:r>
      <w:r>
        <w:rPr>
          <w:lang w:val="en-US"/>
        </w:rPr>
        <w:t xml:space="preserve">. </w:t>
      </w:r>
      <w:r w:rsidR="009D5292">
        <w:rPr>
          <w:lang w:val="en-US"/>
        </w:rPr>
        <w:t>The</w:t>
      </w:r>
      <w:r w:rsidR="00BC01F5">
        <w:rPr>
          <w:lang w:val="en-US"/>
        </w:rPr>
        <w:t xml:space="preserve"> enumerators</w:t>
      </w:r>
      <w:r w:rsidR="009D5292">
        <w:rPr>
          <w:lang w:val="en-US"/>
        </w:rPr>
        <w:t xml:space="preserve"> used tablets with the program ODK to administer the questionnaire</w:t>
      </w:r>
      <w:r w:rsidR="00BC01F5">
        <w:rPr>
          <w:lang w:val="en-US"/>
        </w:rPr>
        <w:t xml:space="preserve">, as many of the women surveyed would not be able to </w:t>
      </w:r>
      <w:r w:rsidR="00C8442E">
        <w:rPr>
          <w:lang w:val="en-US"/>
        </w:rPr>
        <w:t>self-administer</w:t>
      </w:r>
      <w:r w:rsidR="00BC01F5">
        <w:rPr>
          <w:lang w:val="en-US"/>
        </w:rPr>
        <w:t xml:space="preserve"> the questionnaire</w:t>
      </w:r>
      <w:r w:rsidR="009D5292">
        <w:rPr>
          <w:lang w:val="en-US"/>
        </w:rPr>
        <w:t>. The questionnaire was written in French and English and then translated into Swahili</w:t>
      </w:r>
      <w:r w:rsidR="00BC01F5">
        <w:rPr>
          <w:lang w:val="en-US"/>
        </w:rPr>
        <w:t xml:space="preserve"> and read out to the respondents in one-to-one interviews</w:t>
      </w:r>
      <w:r w:rsidR="009D5292">
        <w:rPr>
          <w:lang w:val="en-US"/>
        </w:rPr>
        <w:t xml:space="preserve">. The surveys were conducted in Swahili, with French or Mashi (a local language) used as needed. </w:t>
      </w:r>
      <w:r w:rsidR="00306416">
        <w:rPr>
          <w:lang w:val="en-US"/>
        </w:rPr>
        <w:t xml:space="preserve">The </w:t>
      </w:r>
      <w:r w:rsidR="00BC01F5">
        <w:rPr>
          <w:lang w:val="en-US"/>
        </w:rPr>
        <w:t xml:space="preserve">entire </w:t>
      </w:r>
      <w:r w:rsidR="009D5292">
        <w:rPr>
          <w:lang w:val="en-US"/>
        </w:rPr>
        <w:t>questionnaire</w:t>
      </w:r>
      <w:r w:rsidR="00306416">
        <w:rPr>
          <w:lang w:val="en-US"/>
        </w:rPr>
        <w:t xml:space="preserve"> include</w:t>
      </w:r>
      <w:r w:rsidR="0071165D">
        <w:rPr>
          <w:lang w:val="en-US"/>
        </w:rPr>
        <w:t>d</w:t>
      </w:r>
      <w:r w:rsidR="00306416">
        <w:rPr>
          <w:lang w:val="en-US"/>
        </w:rPr>
        <w:t xml:space="preserve"> more than 400 variables/questions listed in 7 different sections: (i) </w:t>
      </w:r>
      <w:r w:rsidR="00306416">
        <w:rPr>
          <w:iCs/>
          <w:lang w:val="en-US"/>
        </w:rPr>
        <w:t>demographic b</w:t>
      </w:r>
      <w:r w:rsidR="00306416" w:rsidRPr="00306416">
        <w:rPr>
          <w:iCs/>
          <w:lang w:val="en-US"/>
        </w:rPr>
        <w:t>ackground</w:t>
      </w:r>
      <w:r w:rsidR="00306416">
        <w:rPr>
          <w:iCs/>
          <w:lang w:val="en-US"/>
        </w:rPr>
        <w:t xml:space="preserve"> factors</w:t>
      </w:r>
      <w:r w:rsidR="00306416">
        <w:rPr>
          <w:lang w:val="en-US"/>
        </w:rPr>
        <w:t xml:space="preserve">, (ii) </w:t>
      </w:r>
      <w:r w:rsidR="00306416">
        <w:rPr>
          <w:iCs/>
          <w:lang w:val="en-US"/>
        </w:rPr>
        <w:t>f</w:t>
      </w:r>
      <w:r w:rsidR="00306416" w:rsidRPr="00BB2A7E">
        <w:rPr>
          <w:iCs/>
          <w:lang w:val="en-US"/>
        </w:rPr>
        <w:t xml:space="preserve">amily planning; </w:t>
      </w:r>
      <w:r w:rsidR="00306416">
        <w:rPr>
          <w:iCs/>
          <w:lang w:val="en-US"/>
        </w:rPr>
        <w:t xml:space="preserve">(iii) </w:t>
      </w:r>
      <w:r w:rsidR="00306416" w:rsidRPr="00BB2A7E">
        <w:rPr>
          <w:iCs/>
          <w:lang w:val="en-US"/>
        </w:rPr>
        <w:t>pregnancy and c</w:t>
      </w:r>
      <w:r w:rsidR="00306416">
        <w:rPr>
          <w:iCs/>
          <w:lang w:val="en-US"/>
        </w:rPr>
        <w:t>hildbirth; (iv) gender relations; (v) exposure to violence/conflict; (vi) support programs; and (vii) stigma/empowerment</w:t>
      </w:r>
      <w:r w:rsidR="00862FD2">
        <w:rPr>
          <w:iCs/>
          <w:lang w:val="en-US"/>
        </w:rPr>
        <w:t>.</w:t>
      </w:r>
      <w:r w:rsidR="00862FD2">
        <w:rPr>
          <w:rStyle w:val="FootnoteReference"/>
          <w:iCs/>
          <w:lang w:val="en-US"/>
        </w:rPr>
        <w:footnoteReference w:id="4"/>
      </w:r>
      <w:r w:rsidR="00862FD2">
        <w:rPr>
          <w:iCs/>
          <w:lang w:val="en-US"/>
        </w:rPr>
        <w:t xml:space="preserve"> </w:t>
      </w:r>
      <w:r w:rsidR="00BC01F5">
        <w:rPr>
          <w:iCs/>
          <w:lang w:val="en-US"/>
        </w:rPr>
        <w:t xml:space="preserve">The variables used in this particular analysis are outlined below. </w:t>
      </w:r>
    </w:p>
    <w:p w14:paraId="00466611" w14:textId="7C3ADC64" w:rsidR="00862FD2" w:rsidRPr="00664196" w:rsidRDefault="00862FD2" w:rsidP="000D475F">
      <w:pPr>
        <w:pStyle w:val="Heading2"/>
        <w:numPr>
          <w:ilvl w:val="1"/>
          <w:numId w:val="47"/>
        </w:numPr>
      </w:pPr>
      <w:r w:rsidRPr="00664196">
        <w:t>Dependent variable</w:t>
      </w:r>
      <w:r w:rsidR="00BF6658" w:rsidRPr="00664196">
        <w:t>s</w:t>
      </w:r>
      <w:r w:rsidRPr="00664196">
        <w:t xml:space="preserve">: </w:t>
      </w:r>
      <w:r w:rsidR="00DC679F" w:rsidRPr="00664196">
        <w:t>Perceived s</w:t>
      </w:r>
      <w:r w:rsidRPr="00664196">
        <w:t>ocial inclusion</w:t>
      </w:r>
      <w:r w:rsidR="00BF6658" w:rsidRPr="00664196">
        <w:t xml:space="preserve"> and </w:t>
      </w:r>
      <w:r w:rsidR="00DC679F" w:rsidRPr="00664196">
        <w:t xml:space="preserve">improved economic </w:t>
      </w:r>
      <w:r w:rsidR="00664196">
        <w:t>wellbeing</w:t>
      </w:r>
    </w:p>
    <w:p w14:paraId="4DFD790F" w14:textId="376711A6" w:rsidR="002C24D7" w:rsidRDefault="00161D05" w:rsidP="00862FD2">
      <w:pPr>
        <w:ind w:firstLine="0"/>
        <w:rPr>
          <w:lang w:val="en-US"/>
        </w:rPr>
      </w:pPr>
      <w:r>
        <w:rPr>
          <w:lang w:val="en-US"/>
        </w:rPr>
        <w:t xml:space="preserve">Social exclusion or inclusion has been conceptualized and studied in many different </w:t>
      </w:r>
      <w:r w:rsidR="00754D99">
        <w:rPr>
          <w:lang w:val="en-US"/>
        </w:rPr>
        <w:t>ways in existing studies. It has been u</w:t>
      </w:r>
      <w:r w:rsidR="00754D99" w:rsidRPr="00754D99">
        <w:rPr>
          <w:lang w:val="en-US"/>
        </w:rPr>
        <w:t xml:space="preserve">sed to refer to </w:t>
      </w:r>
      <w:r w:rsidR="00754D99">
        <w:rPr>
          <w:lang w:val="en-US"/>
        </w:rPr>
        <w:t>“</w:t>
      </w:r>
      <w:r w:rsidR="00754D99" w:rsidRPr="00754D99">
        <w:rPr>
          <w:lang w:val="en-US"/>
        </w:rPr>
        <w:t>a disparate group of people living on the margins of society and, in particular, without access to the system of social insurance</w:t>
      </w:r>
      <w:r w:rsidR="00754D99">
        <w:rPr>
          <w:lang w:val="en-US"/>
        </w:rPr>
        <w:t>” (</w:t>
      </w:r>
      <w:r w:rsidR="002C24D7">
        <w:rPr>
          <w:lang w:val="en-US"/>
        </w:rPr>
        <w:t>Percy-Smith 2000: 1</w:t>
      </w:r>
      <w:r w:rsidR="00754D99">
        <w:rPr>
          <w:lang w:val="en-US"/>
        </w:rPr>
        <w:t xml:space="preserve">). This has often been studied through aggregate </w:t>
      </w:r>
      <w:r>
        <w:rPr>
          <w:lang w:val="en-US"/>
        </w:rPr>
        <w:t xml:space="preserve">measures of group-based discrimination and legal obstacles to achieving the same level of political influence or economic wellbeing as other groups of people in society. However, </w:t>
      </w:r>
      <w:r w:rsidR="002A6846">
        <w:rPr>
          <w:lang w:val="en-US"/>
        </w:rPr>
        <w:t xml:space="preserve">no clear-cut and agreed-upon definition exists across literatures interested in social exclusion processes. </w:t>
      </w:r>
    </w:p>
    <w:p w14:paraId="18964416" w14:textId="2650FF90" w:rsidR="00697A15" w:rsidRDefault="002C24D7" w:rsidP="00C8442E">
      <w:pPr>
        <w:ind w:firstLine="709"/>
        <w:rPr>
          <w:lang w:val="en-US"/>
        </w:rPr>
      </w:pPr>
      <w:r>
        <w:rPr>
          <w:lang w:val="en-US"/>
        </w:rPr>
        <w:t xml:space="preserve">In this study, we argue that a person´s own sense of social exclusion or inclusion due to specific traits or social markers is an important focus of study, and that exclusion or inclusion can emerge in various subtle ways that involve everyday interactions in families and communities. Particularly in the context of the DRC, due to weak governance and lack of social welfare, social insurance is informal and based on personal interactions. </w:t>
      </w:r>
      <w:r w:rsidR="0067717E" w:rsidRPr="00664196">
        <w:rPr>
          <w:lang w:val="en-US"/>
        </w:rPr>
        <w:t xml:space="preserve">Based on qualitative interviews </w:t>
      </w:r>
      <w:r w:rsidR="002A6846">
        <w:rPr>
          <w:lang w:val="en-US"/>
        </w:rPr>
        <w:t xml:space="preserve">we </w:t>
      </w:r>
      <w:r w:rsidR="0067717E" w:rsidRPr="00664196">
        <w:rPr>
          <w:lang w:val="en-US"/>
        </w:rPr>
        <w:t>conducted</w:t>
      </w:r>
      <w:r w:rsidR="002A6846">
        <w:rPr>
          <w:lang w:val="en-US"/>
        </w:rPr>
        <w:t xml:space="preserve"> in various locations in South Kivu in 2014 and 2015</w:t>
      </w:r>
      <w:r w:rsidR="0067717E" w:rsidRPr="00664196">
        <w:rPr>
          <w:lang w:val="en-US"/>
        </w:rPr>
        <w:t xml:space="preserve">, we see that social inclusion or exclusion </w:t>
      </w:r>
      <w:r>
        <w:rPr>
          <w:lang w:val="en-US"/>
        </w:rPr>
        <w:t xml:space="preserve">does </w:t>
      </w:r>
      <w:r w:rsidR="0067717E">
        <w:rPr>
          <w:lang w:val="en-US"/>
        </w:rPr>
        <w:t xml:space="preserve">occur in many different settings. Women mention not only the social stigma leading to problems with the relationship to community members, such as neighbors, members of local churches, but also to their own families and in-laws. In tight knit </w:t>
      </w:r>
      <w:r w:rsidR="0067717E">
        <w:rPr>
          <w:lang w:val="en-US"/>
        </w:rPr>
        <w:lastRenderedPageBreak/>
        <w:t>communities and villages in South Kivu, family ties and different social arenas are of critical importance</w:t>
      </w:r>
      <w:r>
        <w:rPr>
          <w:lang w:val="en-US"/>
        </w:rPr>
        <w:t xml:space="preserve"> for survival and wellbeing</w:t>
      </w:r>
      <w:r w:rsidR="0067717E">
        <w:rPr>
          <w:lang w:val="en-US"/>
        </w:rPr>
        <w:t>. We therefore include various indicators of feeling of social inclusion or exclusion, capturing these different arenas</w:t>
      </w:r>
      <w:r>
        <w:rPr>
          <w:lang w:val="en-US"/>
        </w:rPr>
        <w:t xml:space="preserve"> and social exclusion and inclusion at the micro-level</w:t>
      </w:r>
      <w:r w:rsidR="0067717E">
        <w:rPr>
          <w:lang w:val="en-US"/>
        </w:rPr>
        <w:t xml:space="preserve">. </w:t>
      </w:r>
    </w:p>
    <w:p w14:paraId="6A2353A1" w14:textId="15E64D52" w:rsidR="0067717E" w:rsidRDefault="00161D05" w:rsidP="00862FD2">
      <w:pPr>
        <w:ind w:firstLine="0"/>
        <w:rPr>
          <w:lang w:val="en-US"/>
        </w:rPr>
      </w:pPr>
      <w:r>
        <w:rPr>
          <w:lang w:val="en-US"/>
        </w:rPr>
        <w:tab/>
      </w:r>
      <w:r w:rsidR="0067717E">
        <w:rPr>
          <w:lang w:val="en-US"/>
        </w:rPr>
        <w:t>O</w:t>
      </w:r>
      <w:r>
        <w:rPr>
          <w:lang w:val="en-US"/>
        </w:rPr>
        <w:t xml:space="preserve">ur </w:t>
      </w:r>
      <w:r w:rsidR="0067717E">
        <w:rPr>
          <w:lang w:val="en-US"/>
        </w:rPr>
        <w:t xml:space="preserve">composite measure of social inclusion </w:t>
      </w:r>
      <w:r>
        <w:rPr>
          <w:lang w:val="en-US"/>
        </w:rPr>
        <w:t>focuses</w:t>
      </w:r>
      <w:r w:rsidR="0067717E">
        <w:rPr>
          <w:lang w:val="en-US"/>
        </w:rPr>
        <w:t xml:space="preserve"> on whether or not women feel welcome in </w:t>
      </w:r>
      <w:r w:rsidR="00697A15">
        <w:rPr>
          <w:lang w:val="en-US"/>
        </w:rPr>
        <w:t xml:space="preserve">six different </w:t>
      </w:r>
      <w:r>
        <w:rPr>
          <w:lang w:val="en-US"/>
        </w:rPr>
        <w:t xml:space="preserve">but key </w:t>
      </w:r>
      <w:r w:rsidR="00697A15">
        <w:rPr>
          <w:lang w:val="en-US"/>
        </w:rPr>
        <w:t xml:space="preserve">social contexts: the family, with in-laws, with neighbors, at the market, at church, and in the community writ large. It is based on the questions listed in Table 1, below.  </w:t>
      </w:r>
      <w:r w:rsidR="00697A15" w:rsidRPr="00697A15">
        <w:rPr>
          <w:lang w:val="en-US"/>
        </w:rPr>
        <w:t>The response categories were 0=never, 1=sometimes, 2=often, 3=always.</w:t>
      </w:r>
      <w:r w:rsidR="00697A15">
        <w:rPr>
          <w:lang w:val="en-US"/>
        </w:rPr>
        <w:t xml:space="preserve"> We </w:t>
      </w:r>
      <w:r w:rsidR="00697A15" w:rsidRPr="00697A15">
        <w:rPr>
          <w:lang w:val="en-US"/>
        </w:rPr>
        <w:t xml:space="preserve">added the scores on the six variables so that we got a social inclusion index ranging from 0 (minimum perception of social inclusion) to 18 (maximum perception of social inclusion).  </w:t>
      </w:r>
    </w:p>
    <w:p w14:paraId="1466C3D4" w14:textId="77777777" w:rsidR="00C758B4" w:rsidRDefault="00C758B4" w:rsidP="00862FD2">
      <w:pPr>
        <w:ind w:firstLine="0"/>
        <w:rPr>
          <w:lang w:val="en-US"/>
        </w:rPr>
      </w:pPr>
    </w:p>
    <w:p w14:paraId="61ED70AF" w14:textId="29335684" w:rsidR="00697A15" w:rsidRDefault="00697A15" w:rsidP="00664196">
      <w:pPr>
        <w:pStyle w:val="Caption"/>
        <w:keepNext/>
        <w:ind w:firstLine="0"/>
      </w:pPr>
      <w:r>
        <w:t xml:space="preserve">Table </w:t>
      </w:r>
      <w:r w:rsidR="000E06F0">
        <w:fldChar w:fldCharType="begin"/>
      </w:r>
      <w:r w:rsidR="000E06F0">
        <w:instrText xml:space="preserve"> SEQ Table \* ARABIC </w:instrText>
      </w:r>
      <w:r w:rsidR="000E06F0">
        <w:fldChar w:fldCharType="separate"/>
      </w:r>
      <w:r w:rsidR="00C2411D">
        <w:rPr>
          <w:noProof/>
        </w:rPr>
        <w:t>1</w:t>
      </w:r>
      <w:r w:rsidR="000E06F0">
        <w:rPr>
          <w:noProof/>
        </w:rPr>
        <w:fldChar w:fldCharType="end"/>
      </w:r>
      <w:r>
        <w:t xml:space="preserve">. Social Inclusion </w:t>
      </w:r>
      <w:r w:rsidR="00664196">
        <w:t>I</w:t>
      </w:r>
      <w:r>
        <w:t xml:space="preserve">ndex </w:t>
      </w:r>
    </w:p>
    <w:tbl>
      <w:tblPr>
        <w:tblStyle w:val="PlainTable11"/>
        <w:tblW w:w="10120" w:type="dxa"/>
        <w:tblLook w:val="04A0" w:firstRow="1" w:lastRow="0" w:firstColumn="1" w:lastColumn="0" w:noHBand="0" w:noVBand="1"/>
      </w:tblPr>
      <w:tblGrid>
        <w:gridCol w:w="6420"/>
        <w:gridCol w:w="3700"/>
      </w:tblGrid>
      <w:tr w:rsidR="00697A15" w:rsidRPr="00664196" w14:paraId="74EBD2AA" w14:textId="77777777" w:rsidTr="0066419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0" w:type="dxa"/>
          </w:tcPr>
          <w:p w14:paraId="05BB89F4" w14:textId="15FDCA08" w:rsidR="00697A15" w:rsidRPr="00664196" w:rsidRDefault="00697A15" w:rsidP="003F4AEE">
            <w:pPr>
              <w:spacing w:line="240" w:lineRule="auto"/>
              <w:ind w:firstLine="0"/>
              <w:jc w:val="left"/>
              <w:rPr>
                <w:rFonts w:ascii="Times New Roman" w:hAnsi="Times New Roman"/>
                <w:color w:val="000000"/>
                <w:szCs w:val="24"/>
                <w:lang w:val="en-CA"/>
              </w:rPr>
            </w:pPr>
            <w:r w:rsidRPr="00664196">
              <w:rPr>
                <w:rFonts w:ascii="Times New Roman" w:hAnsi="Times New Roman"/>
                <w:color w:val="000000"/>
                <w:szCs w:val="24"/>
                <w:lang w:val="en-CA"/>
              </w:rPr>
              <w:t>Question</w:t>
            </w:r>
          </w:p>
        </w:tc>
        <w:tc>
          <w:tcPr>
            <w:tcW w:w="3700" w:type="dxa"/>
            <w:noWrap/>
          </w:tcPr>
          <w:p w14:paraId="06A7F843" w14:textId="19FEC64E" w:rsidR="00697A15" w:rsidRPr="00664196" w:rsidRDefault="00697A15" w:rsidP="003F4AEE">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Response categories</w:t>
            </w:r>
          </w:p>
        </w:tc>
      </w:tr>
      <w:tr w:rsidR="00697A15" w:rsidRPr="00664196" w14:paraId="2747D28E" w14:textId="77777777" w:rsidTr="006641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00D62F16"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with your family?</w:t>
            </w:r>
          </w:p>
        </w:tc>
        <w:tc>
          <w:tcPr>
            <w:tcW w:w="3700" w:type="dxa"/>
            <w:noWrap/>
            <w:hideMark/>
          </w:tcPr>
          <w:p w14:paraId="33D902A9" w14:textId="77777777" w:rsidR="00697A15" w:rsidRPr="00664196" w:rsidRDefault="00697A15" w:rsidP="003F4AEE">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r w:rsidR="00697A15" w:rsidRPr="00664196" w14:paraId="3EA1A607" w14:textId="77777777" w:rsidTr="00664196">
        <w:trPr>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096569AB"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with your in-laws?</w:t>
            </w:r>
          </w:p>
        </w:tc>
        <w:tc>
          <w:tcPr>
            <w:tcW w:w="3700" w:type="dxa"/>
            <w:noWrap/>
            <w:hideMark/>
          </w:tcPr>
          <w:p w14:paraId="12937950" w14:textId="77777777" w:rsidR="00697A15" w:rsidRPr="00664196" w:rsidRDefault="00697A15" w:rsidP="003F4AE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r w:rsidR="00697A15" w:rsidRPr="00664196" w14:paraId="16D8C08D" w14:textId="77777777" w:rsidTr="006641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5A6B1FF6"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with your neighbors?</w:t>
            </w:r>
          </w:p>
        </w:tc>
        <w:tc>
          <w:tcPr>
            <w:tcW w:w="3700" w:type="dxa"/>
            <w:noWrap/>
            <w:hideMark/>
          </w:tcPr>
          <w:p w14:paraId="5AB6188D" w14:textId="77777777" w:rsidR="00697A15" w:rsidRPr="00664196" w:rsidRDefault="00697A15" w:rsidP="003F4AEE">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r w:rsidR="00697A15" w:rsidRPr="00664196" w14:paraId="3C259F69" w14:textId="77777777" w:rsidTr="00664196">
        <w:trPr>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145FA735"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at the marked?</w:t>
            </w:r>
          </w:p>
        </w:tc>
        <w:tc>
          <w:tcPr>
            <w:tcW w:w="3700" w:type="dxa"/>
            <w:noWrap/>
            <w:hideMark/>
          </w:tcPr>
          <w:p w14:paraId="349E68C2" w14:textId="77777777" w:rsidR="00697A15" w:rsidRPr="00664196" w:rsidRDefault="00697A15" w:rsidP="003F4AE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r w:rsidR="00697A15" w:rsidRPr="00664196" w14:paraId="4A60A09C" w14:textId="77777777" w:rsidTr="006641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0A615D2F"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at church?</w:t>
            </w:r>
          </w:p>
        </w:tc>
        <w:tc>
          <w:tcPr>
            <w:tcW w:w="3700" w:type="dxa"/>
            <w:noWrap/>
            <w:hideMark/>
          </w:tcPr>
          <w:p w14:paraId="544085FA" w14:textId="77777777" w:rsidR="00697A15" w:rsidRPr="00664196" w:rsidRDefault="00697A15" w:rsidP="003F4AEE">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r w:rsidR="00697A15" w:rsidRPr="00664196" w14:paraId="447B0923" w14:textId="77777777" w:rsidTr="00664196">
        <w:trPr>
          <w:trHeight w:val="300"/>
        </w:trPr>
        <w:tc>
          <w:tcPr>
            <w:cnfStyle w:val="001000000000" w:firstRow="0" w:lastRow="0" w:firstColumn="1" w:lastColumn="0" w:oddVBand="0" w:evenVBand="0" w:oddHBand="0" w:evenHBand="0" w:firstRowFirstColumn="0" w:firstRowLastColumn="0" w:lastRowFirstColumn="0" w:lastRowLastColumn="0"/>
            <w:tcW w:w="6420" w:type="dxa"/>
            <w:hideMark/>
          </w:tcPr>
          <w:p w14:paraId="77FE63E0" w14:textId="77777777" w:rsidR="00697A15" w:rsidRPr="00664196" w:rsidRDefault="00697A15" w:rsidP="003F4AEE">
            <w:pPr>
              <w:spacing w:line="240" w:lineRule="auto"/>
              <w:ind w:firstLine="0"/>
              <w:jc w:val="left"/>
              <w:rPr>
                <w:rFonts w:ascii="Times New Roman" w:hAnsi="Times New Roman"/>
                <w:b w:val="0"/>
                <w:color w:val="000000"/>
                <w:szCs w:val="24"/>
                <w:lang w:val="en-CA"/>
              </w:rPr>
            </w:pPr>
            <w:r w:rsidRPr="00664196">
              <w:rPr>
                <w:rFonts w:ascii="Times New Roman" w:hAnsi="Times New Roman"/>
                <w:b w:val="0"/>
                <w:color w:val="000000"/>
                <w:szCs w:val="24"/>
                <w:lang w:val="en-CA"/>
              </w:rPr>
              <w:t>How often do you feel welcome in the community?”</w:t>
            </w:r>
          </w:p>
        </w:tc>
        <w:tc>
          <w:tcPr>
            <w:tcW w:w="3700" w:type="dxa"/>
            <w:noWrap/>
            <w:hideMark/>
          </w:tcPr>
          <w:p w14:paraId="754A7518" w14:textId="77777777" w:rsidR="00697A15" w:rsidRPr="00664196" w:rsidRDefault="00697A15" w:rsidP="003F4AEE">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lang w:val="en-CA"/>
              </w:rPr>
            </w:pPr>
            <w:r w:rsidRPr="00664196">
              <w:rPr>
                <w:rFonts w:ascii="Times New Roman" w:hAnsi="Times New Roman"/>
                <w:color w:val="000000"/>
                <w:szCs w:val="24"/>
                <w:lang w:val="en-CA"/>
              </w:rPr>
              <w:t>Never, Sometimes, Often, Always</w:t>
            </w:r>
          </w:p>
        </w:tc>
      </w:tr>
    </w:tbl>
    <w:p w14:paraId="2BE99530" w14:textId="77777777" w:rsidR="00697A15" w:rsidRDefault="00697A15" w:rsidP="00862FD2">
      <w:pPr>
        <w:ind w:firstLine="0"/>
        <w:rPr>
          <w:lang w:val="en-US"/>
        </w:rPr>
      </w:pPr>
    </w:p>
    <w:p w14:paraId="1F103F1B" w14:textId="00083B8E" w:rsidR="00697A15" w:rsidRDefault="00697A15" w:rsidP="00862FD2">
      <w:pPr>
        <w:ind w:firstLine="0"/>
        <w:rPr>
          <w:lang w:val="en-US"/>
        </w:rPr>
      </w:pPr>
      <w:r>
        <w:rPr>
          <w:lang w:val="en-US"/>
        </w:rPr>
        <w:t xml:space="preserve">The share of responses on the different questions are presented in Figure 2, below. </w:t>
      </w:r>
      <w:r w:rsidRPr="00697A15">
        <w:rPr>
          <w:lang w:val="en-US"/>
        </w:rPr>
        <w:t>The good news is that a large share (36.5% of our sample) often or always feel socially included in all the six social settings</w:t>
      </w:r>
      <w:r>
        <w:rPr>
          <w:lang w:val="en-US"/>
        </w:rPr>
        <w:t xml:space="preserve">, whereas </w:t>
      </w:r>
      <w:r w:rsidRPr="00697A15">
        <w:rPr>
          <w:lang w:val="en-US"/>
        </w:rPr>
        <w:t>5.9% never or only sometimes feel included in all the settings.</w:t>
      </w:r>
    </w:p>
    <w:p w14:paraId="56E175AD" w14:textId="77777777" w:rsidR="00697A15" w:rsidRDefault="00697A15" w:rsidP="00862FD2">
      <w:pPr>
        <w:ind w:firstLine="0"/>
        <w:rPr>
          <w:lang w:val="en-US"/>
        </w:rPr>
      </w:pPr>
    </w:p>
    <w:p w14:paraId="0685B9BE" w14:textId="77777777" w:rsidR="00697A15" w:rsidRDefault="00697A15" w:rsidP="00697A15">
      <w:pPr>
        <w:ind w:firstLine="0"/>
        <w:rPr>
          <w:lang w:val="en-US"/>
        </w:rPr>
      </w:pPr>
      <w:r w:rsidRPr="00674AD4">
        <w:rPr>
          <w:noProof/>
          <w:lang w:val="en-US"/>
        </w:rPr>
        <w:drawing>
          <wp:inline distT="0" distB="0" distL="0" distR="0" wp14:anchorId="72C918D8" wp14:editId="46390DC2">
            <wp:extent cx="3882015" cy="2333501"/>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9596" cy="2350080"/>
                    </a:xfrm>
                    <a:prstGeom prst="rect">
                      <a:avLst/>
                    </a:prstGeom>
                    <a:noFill/>
                    <a:ln>
                      <a:noFill/>
                    </a:ln>
                    <a:effectLst/>
                    <a:extLst/>
                  </pic:spPr>
                </pic:pic>
              </a:graphicData>
            </a:graphic>
          </wp:inline>
        </w:drawing>
      </w:r>
    </w:p>
    <w:p w14:paraId="3A680711" w14:textId="0F1AD4C5" w:rsidR="00891A23" w:rsidRPr="00664196" w:rsidRDefault="00891A23" w:rsidP="00697A15">
      <w:pPr>
        <w:ind w:firstLine="0"/>
        <w:rPr>
          <w:sz w:val="22"/>
          <w:lang w:val="en-US"/>
        </w:rPr>
      </w:pPr>
      <w:r w:rsidRPr="00664196">
        <w:rPr>
          <w:sz w:val="22"/>
          <w:lang w:val="en-US"/>
        </w:rPr>
        <w:t>N=1,092</w:t>
      </w:r>
    </w:p>
    <w:p w14:paraId="53335177" w14:textId="4E01A08E" w:rsidR="00697A15" w:rsidRDefault="00697A15" w:rsidP="00697A15">
      <w:pPr>
        <w:ind w:firstLine="0"/>
        <w:rPr>
          <w:b/>
          <w:lang w:val="en-US"/>
        </w:rPr>
      </w:pPr>
      <w:r>
        <w:rPr>
          <w:b/>
          <w:lang w:val="en-US"/>
        </w:rPr>
        <w:t>Figure 2</w:t>
      </w:r>
      <w:r w:rsidRPr="00674AD4">
        <w:rPr>
          <w:b/>
          <w:lang w:val="en-US"/>
        </w:rPr>
        <w:t xml:space="preserve">. </w:t>
      </w:r>
      <w:r>
        <w:rPr>
          <w:b/>
          <w:lang w:val="en-US"/>
        </w:rPr>
        <w:t xml:space="preserve">Share of respondents who feel welcome in different </w:t>
      </w:r>
      <w:r w:rsidR="00DC679F">
        <w:rPr>
          <w:b/>
          <w:lang w:val="en-US"/>
        </w:rPr>
        <w:t>social settings</w:t>
      </w:r>
      <w:r>
        <w:rPr>
          <w:b/>
          <w:lang w:val="en-US"/>
        </w:rPr>
        <w:t xml:space="preserve"> (%)</w:t>
      </w:r>
    </w:p>
    <w:p w14:paraId="350F17C9" w14:textId="77777777" w:rsidR="00697A15" w:rsidRDefault="00697A15" w:rsidP="00862FD2">
      <w:pPr>
        <w:ind w:firstLine="0"/>
        <w:rPr>
          <w:lang w:val="en-US"/>
        </w:rPr>
      </w:pPr>
    </w:p>
    <w:p w14:paraId="0CB93F95" w14:textId="27ACFDFD" w:rsidR="00505890" w:rsidRPr="00505890" w:rsidRDefault="00EC4571" w:rsidP="00C8442E">
      <w:pPr>
        <w:ind w:firstLine="0"/>
        <w:rPr>
          <w:i/>
          <w:lang w:val="en-US"/>
        </w:rPr>
      </w:pPr>
      <w:r>
        <w:rPr>
          <w:lang w:val="en-US"/>
        </w:rPr>
        <w:tab/>
      </w:r>
      <w:r w:rsidR="00505890">
        <w:rPr>
          <w:lang w:val="en-US"/>
        </w:rPr>
        <w:t xml:space="preserve">In order to capture </w:t>
      </w:r>
      <w:r w:rsidR="00ED37B9">
        <w:rPr>
          <w:lang w:val="en-US"/>
        </w:rPr>
        <w:t xml:space="preserve">perceived </w:t>
      </w:r>
      <w:r w:rsidR="00697A15">
        <w:rPr>
          <w:lang w:val="en-US"/>
        </w:rPr>
        <w:t xml:space="preserve">improved </w:t>
      </w:r>
      <w:r w:rsidR="00505890">
        <w:rPr>
          <w:lang w:val="en-US"/>
        </w:rPr>
        <w:t xml:space="preserve">economic wellbeing we use a variable from the survey asking about how the respondent perceives her living conditions compared to one year prior </w:t>
      </w:r>
      <w:r w:rsidR="008219BE">
        <w:rPr>
          <w:lang w:val="en-US"/>
        </w:rPr>
        <w:t xml:space="preserve">to the survey </w:t>
      </w:r>
      <w:r>
        <w:rPr>
          <w:lang w:val="en-US"/>
        </w:rPr>
        <w:t xml:space="preserve">(question </w:t>
      </w:r>
      <w:r w:rsidR="008219BE">
        <w:rPr>
          <w:lang w:val="en-US"/>
        </w:rPr>
        <w:t>8f46)</w:t>
      </w:r>
      <w:r w:rsidR="00664196">
        <w:rPr>
          <w:lang w:val="en-US"/>
        </w:rPr>
        <w:t xml:space="preserve">: </w:t>
      </w:r>
      <w:r w:rsidR="00505890" w:rsidRPr="00505890">
        <w:rPr>
          <w:i/>
          <w:lang w:val="en-US"/>
        </w:rPr>
        <w:t>In general, how are your living conditions now compare</w:t>
      </w:r>
      <w:r w:rsidR="0055134F">
        <w:rPr>
          <w:i/>
          <w:lang w:val="en-US"/>
        </w:rPr>
        <w:t>d</w:t>
      </w:r>
      <w:r w:rsidR="00505890" w:rsidRPr="00505890">
        <w:rPr>
          <w:i/>
          <w:lang w:val="en-US"/>
        </w:rPr>
        <w:t xml:space="preserve"> to one year ago?</w:t>
      </w:r>
    </w:p>
    <w:p w14:paraId="39C8EE80" w14:textId="77777777" w:rsidR="00505890" w:rsidRPr="00505890" w:rsidRDefault="00505890" w:rsidP="00505890">
      <w:pPr>
        <w:pStyle w:val="ListParagraph"/>
        <w:numPr>
          <w:ilvl w:val="0"/>
          <w:numId w:val="44"/>
        </w:numPr>
        <w:rPr>
          <w:i/>
          <w:lang w:val="en-US"/>
        </w:rPr>
      </w:pPr>
      <w:r w:rsidRPr="00505890">
        <w:rPr>
          <w:i/>
          <w:lang w:val="en-US"/>
        </w:rPr>
        <w:t>Much better</w:t>
      </w:r>
    </w:p>
    <w:p w14:paraId="6C728741" w14:textId="77777777" w:rsidR="00505890" w:rsidRPr="00505890" w:rsidRDefault="00505890" w:rsidP="00505890">
      <w:pPr>
        <w:pStyle w:val="ListParagraph"/>
        <w:numPr>
          <w:ilvl w:val="0"/>
          <w:numId w:val="44"/>
        </w:numPr>
        <w:rPr>
          <w:i/>
          <w:lang w:val="en-US"/>
        </w:rPr>
      </w:pPr>
      <w:r w:rsidRPr="00505890">
        <w:rPr>
          <w:i/>
          <w:lang w:val="en-US"/>
        </w:rPr>
        <w:t>Better</w:t>
      </w:r>
    </w:p>
    <w:p w14:paraId="00BBB1E4" w14:textId="77777777" w:rsidR="00505890" w:rsidRPr="00505890" w:rsidRDefault="00505890" w:rsidP="00505890">
      <w:pPr>
        <w:pStyle w:val="ListParagraph"/>
        <w:numPr>
          <w:ilvl w:val="0"/>
          <w:numId w:val="44"/>
        </w:numPr>
        <w:rPr>
          <w:i/>
          <w:lang w:val="en-US"/>
        </w:rPr>
      </w:pPr>
      <w:r w:rsidRPr="00505890">
        <w:rPr>
          <w:i/>
          <w:lang w:val="en-US"/>
        </w:rPr>
        <w:t>Same</w:t>
      </w:r>
    </w:p>
    <w:p w14:paraId="3BA4333F" w14:textId="77777777" w:rsidR="00505890" w:rsidRPr="00505890" w:rsidRDefault="00505890" w:rsidP="00505890">
      <w:pPr>
        <w:pStyle w:val="ListParagraph"/>
        <w:numPr>
          <w:ilvl w:val="0"/>
          <w:numId w:val="44"/>
        </w:numPr>
        <w:rPr>
          <w:i/>
          <w:lang w:val="en-US"/>
        </w:rPr>
      </w:pPr>
      <w:r w:rsidRPr="00505890">
        <w:rPr>
          <w:i/>
          <w:lang w:val="en-US"/>
        </w:rPr>
        <w:t>Worse</w:t>
      </w:r>
    </w:p>
    <w:p w14:paraId="254ED34D" w14:textId="77777777" w:rsidR="00505890" w:rsidRPr="00505890" w:rsidRDefault="00505890" w:rsidP="00505890">
      <w:pPr>
        <w:pStyle w:val="ListParagraph"/>
        <w:numPr>
          <w:ilvl w:val="0"/>
          <w:numId w:val="44"/>
        </w:numPr>
        <w:rPr>
          <w:i/>
          <w:lang w:val="en-US"/>
        </w:rPr>
      </w:pPr>
      <w:r w:rsidRPr="00505890">
        <w:rPr>
          <w:i/>
          <w:lang w:val="en-US"/>
        </w:rPr>
        <w:t>Much worse</w:t>
      </w:r>
    </w:p>
    <w:p w14:paraId="5C0D06FD" w14:textId="77777777" w:rsidR="00D2717F" w:rsidRDefault="00505890" w:rsidP="00505890">
      <w:pPr>
        <w:ind w:firstLine="0"/>
        <w:rPr>
          <w:lang w:val="en-US"/>
        </w:rPr>
      </w:pPr>
      <w:r>
        <w:rPr>
          <w:lang w:val="en-US"/>
        </w:rPr>
        <w:t>We reverse the categories so that higher values indicate higher satisfaction with the development of own living conditions. The recoded variable ranges from 0 (much worse) to 4 (much better).</w:t>
      </w:r>
    </w:p>
    <w:p w14:paraId="7AD205D4" w14:textId="32989DFD" w:rsidR="00505890" w:rsidRDefault="00505890" w:rsidP="00505890">
      <w:pPr>
        <w:ind w:firstLine="0"/>
        <w:rPr>
          <w:lang w:val="en-US"/>
        </w:rPr>
      </w:pPr>
      <w:r>
        <w:rPr>
          <w:lang w:val="en-US"/>
        </w:rPr>
        <w:t xml:space="preserve">The distribution is shown in </w:t>
      </w:r>
      <w:r w:rsidR="00697A15">
        <w:rPr>
          <w:lang w:val="en-US"/>
        </w:rPr>
        <w:t>F</w:t>
      </w:r>
      <w:r>
        <w:rPr>
          <w:lang w:val="en-US"/>
        </w:rPr>
        <w:t xml:space="preserve">igure </w:t>
      </w:r>
      <w:r w:rsidR="00664196">
        <w:rPr>
          <w:lang w:val="en-US"/>
        </w:rPr>
        <w:t>3</w:t>
      </w:r>
      <w:r w:rsidR="00E44A3E">
        <w:rPr>
          <w:lang w:val="en-US"/>
        </w:rPr>
        <w:t xml:space="preserve"> </w:t>
      </w:r>
      <w:r>
        <w:rPr>
          <w:lang w:val="en-US"/>
        </w:rPr>
        <w:t>below (N=1,</w:t>
      </w:r>
      <w:r w:rsidR="00891A23">
        <w:rPr>
          <w:lang w:val="en-US"/>
        </w:rPr>
        <w:t>161</w:t>
      </w:r>
      <w:r>
        <w:rPr>
          <w:lang w:val="en-US"/>
        </w:rPr>
        <w:t>).</w:t>
      </w:r>
    </w:p>
    <w:p w14:paraId="663681C3" w14:textId="77777777" w:rsidR="00505890" w:rsidRDefault="00505890" w:rsidP="00505890">
      <w:pPr>
        <w:ind w:firstLine="0"/>
        <w:rPr>
          <w:lang w:val="en-US"/>
        </w:rPr>
      </w:pPr>
    </w:p>
    <w:p w14:paraId="541CF778" w14:textId="19D61DD8" w:rsidR="00505890" w:rsidRDefault="00891A23" w:rsidP="00505890">
      <w:pPr>
        <w:ind w:firstLine="0"/>
        <w:rPr>
          <w:noProof/>
          <w:lang w:val="en-US" w:eastAsia="nb-NO"/>
        </w:rPr>
      </w:pPr>
      <w:r w:rsidRPr="00664196">
        <w:rPr>
          <w:noProof/>
          <w:lang w:val="en-US" w:eastAsia="nb-NO"/>
        </w:rPr>
        <w:t xml:space="preserve"> </w:t>
      </w:r>
      <w:r>
        <w:rPr>
          <w:noProof/>
          <w:lang w:val="en-US"/>
        </w:rPr>
        <w:drawing>
          <wp:inline distT="0" distB="0" distL="0" distR="0" wp14:anchorId="3072101D" wp14:editId="6228F0C7">
            <wp:extent cx="5475881" cy="3308295"/>
            <wp:effectExtent l="0" t="0" r="1079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BD11F9" w14:textId="765D0C26" w:rsidR="00891A23" w:rsidRPr="00664196" w:rsidRDefault="00891A23" w:rsidP="00505890">
      <w:pPr>
        <w:ind w:firstLine="0"/>
        <w:rPr>
          <w:sz w:val="22"/>
          <w:lang w:val="en-US"/>
        </w:rPr>
      </w:pPr>
      <w:r w:rsidRPr="00664196">
        <w:rPr>
          <w:noProof/>
          <w:sz w:val="22"/>
          <w:lang w:val="en-US" w:eastAsia="nb-NO"/>
        </w:rPr>
        <w:t>N=1,161</w:t>
      </w:r>
    </w:p>
    <w:p w14:paraId="42ED371F" w14:textId="71A78860" w:rsidR="00505890" w:rsidRPr="00505890" w:rsidRDefault="00505890" w:rsidP="00505890">
      <w:pPr>
        <w:ind w:firstLine="0"/>
        <w:rPr>
          <w:lang w:val="en-US"/>
        </w:rPr>
      </w:pPr>
      <w:r>
        <w:rPr>
          <w:b/>
          <w:lang w:val="en-US"/>
        </w:rPr>
        <w:t xml:space="preserve">Figure </w:t>
      </w:r>
      <w:r w:rsidR="00C758B4">
        <w:rPr>
          <w:b/>
          <w:lang w:val="en-US"/>
        </w:rPr>
        <w:t>3</w:t>
      </w:r>
      <w:r w:rsidRPr="00674AD4">
        <w:rPr>
          <w:b/>
          <w:lang w:val="en-US"/>
        </w:rPr>
        <w:t xml:space="preserve">. </w:t>
      </w:r>
      <w:r w:rsidR="00ED37B9">
        <w:rPr>
          <w:b/>
          <w:lang w:val="en-US"/>
        </w:rPr>
        <w:t>Perceived</w:t>
      </w:r>
      <w:r>
        <w:rPr>
          <w:b/>
          <w:lang w:val="en-US"/>
        </w:rPr>
        <w:t xml:space="preserve"> improvement in living conditions</w:t>
      </w:r>
    </w:p>
    <w:p w14:paraId="21686F2A" w14:textId="4F11FCC5" w:rsidR="00DA660E" w:rsidRDefault="00891A23" w:rsidP="006E2A25">
      <w:pPr>
        <w:pStyle w:val="Heading2"/>
      </w:pPr>
      <w:r>
        <w:lastRenderedPageBreak/>
        <w:t>Main i</w:t>
      </w:r>
      <w:r w:rsidR="00DA660E">
        <w:t>ndependent variables</w:t>
      </w:r>
      <w:r w:rsidR="00B03BB3">
        <w:t xml:space="preserve">: </w:t>
      </w:r>
      <w:r w:rsidR="00664196">
        <w:t>S</w:t>
      </w:r>
      <w:r w:rsidR="00B03BB3">
        <w:t>exual violence and support programs</w:t>
      </w:r>
    </w:p>
    <w:p w14:paraId="4BD4704B" w14:textId="40F05023" w:rsidR="00491721" w:rsidRDefault="00705682" w:rsidP="00664196">
      <w:pPr>
        <w:ind w:firstLine="0"/>
        <w:rPr>
          <w:lang w:val="en-US" w:eastAsia="nb-NO"/>
        </w:rPr>
      </w:pPr>
      <w:r>
        <w:rPr>
          <w:lang w:val="en-US" w:eastAsia="nb-NO"/>
        </w:rPr>
        <w:t xml:space="preserve">Our subsequent analyses focus on two main independent variables. First, we create a dummy for whether the respondent has </w:t>
      </w:r>
      <w:r w:rsidRPr="004566B6">
        <w:rPr>
          <w:b/>
          <w:lang w:val="en-US" w:eastAsia="nb-NO"/>
        </w:rPr>
        <w:t>experienced conflict-related sexual violence</w:t>
      </w:r>
      <w:r w:rsidR="004566B6">
        <w:rPr>
          <w:rStyle w:val="FootnoteReference"/>
          <w:b/>
          <w:lang w:val="en-US" w:eastAsia="nb-NO"/>
        </w:rPr>
        <w:footnoteReference w:id="5"/>
      </w:r>
      <w:r>
        <w:rPr>
          <w:lang w:val="en-US" w:eastAsia="nb-NO"/>
        </w:rPr>
        <w:t>.</w:t>
      </w:r>
      <w:r w:rsidR="004566B6">
        <w:rPr>
          <w:lang w:val="en-US" w:eastAsia="nb-NO"/>
        </w:rPr>
        <w:t xml:space="preserve"> </w:t>
      </w:r>
      <w:r w:rsidR="00697A15">
        <w:rPr>
          <w:lang w:val="en-US" w:eastAsia="nb-NO"/>
        </w:rPr>
        <w:t>R</w:t>
      </w:r>
      <w:r w:rsidR="004566B6">
        <w:rPr>
          <w:lang w:val="en-US" w:eastAsia="nb-NO"/>
        </w:rPr>
        <w:t>espondents were asked a set of questions concerning household (and individual) exposure to various forms of violence</w:t>
      </w:r>
      <w:r w:rsidR="0042327E">
        <w:rPr>
          <w:lang w:val="en-US" w:eastAsia="nb-NO"/>
        </w:rPr>
        <w:t xml:space="preserve"> </w:t>
      </w:r>
      <w:r w:rsidR="00697A15">
        <w:rPr>
          <w:lang w:val="en-US" w:eastAsia="nb-NO"/>
        </w:rPr>
        <w:t xml:space="preserve">committed by armed groups </w:t>
      </w:r>
      <w:r w:rsidR="0042327E">
        <w:rPr>
          <w:lang w:val="en-US" w:eastAsia="nb-NO"/>
        </w:rPr>
        <w:t>(</w:t>
      </w:r>
      <w:r w:rsidR="00891A23">
        <w:rPr>
          <w:lang w:val="en-US" w:eastAsia="nb-NO"/>
        </w:rPr>
        <w:t xml:space="preserve">variables </w:t>
      </w:r>
      <w:r w:rsidR="0042327E">
        <w:rPr>
          <w:lang w:val="en-US" w:eastAsia="nb-NO"/>
        </w:rPr>
        <w:t>d0-d8)</w:t>
      </w:r>
      <w:r w:rsidR="00697A15">
        <w:rPr>
          <w:lang w:val="en-US" w:eastAsia="nb-NO"/>
        </w:rPr>
        <w:t>, including members of the household being killed, experiences of looting, burning, extortion, and also rape and other forced sexual acts</w:t>
      </w:r>
      <w:r w:rsidR="0042327E">
        <w:rPr>
          <w:lang w:val="en-US" w:eastAsia="nb-NO"/>
        </w:rPr>
        <w:t xml:space="preserve">. </w:t>
      </w:r>
      <w:r w:rsidR="00697A15">
        <w:rPr>
          <w:lang w:val="en-US" w:eastAsia="nb-NO"/>
        </w:rPr>
        <w:t>To construct our measure of whether or not the woman is a survivor of sexual violence, we use two</w:t>
      </w:r>
      <w:r w:rsidR="004566B6">
        <w:rPr>
          <w:lang w:val="en-US" w:eastAsia="nb-NO"/>
        </w:rPr>
        <w:t xml:space="preserve"> </w:t>
      </w:r>
      <w:r w:rsidR="00697A15">
        <w:rPr>
          <w:lang w:val="en-US" w:eastAsia="nb-NO"/>
        </w:rPr>
        <w:t xml:space="preserve">main </w:t>
      </w:r>
      <w:r w:rsidR="004566B6">
        <w:rPr>
          <w:lang w:val="en-US" w:eastAsia="nb-NO"/>
        </w:rPr>
        <w:t xml:space="preserve">survey questions: </w:t>
      </w:r>
      <w:r w:rsidRPr="004566B6">
        <w:rPr>
          <w:i/>
          <w:lang w:val="en-US" w:eastAsia="nb-NO"/>
        </w:rPr>
        <w:t>Have you or any</w:t>
      </w:r>
      <w:r w:rsidR="004566B6" w:rsidRPr="004566B6">
        <w:rPr>
          <w:i/>
          <w:lang w:val="en-US" w:eastAsia="nb-NO"/>
        </w:rPr>
        <w:t>one else in your household ever</w:t>
      </w:r>
      <w:r w:rsidR="004566B6">
        <w:rPr>
          <w:i/>
          <w:lang w:val="en-US" w:eastAsia="nb-NO"/>
        </w:rPr>
        <w:t xml:space="preserve"> </w:t>
      </w:r>
      <w:r w:rsidRPr="004566B6">
        <w:rPr>
          <w:i/>
          <w:lang w:val="en-US" w:eastAsia="nb-NO"/>
        </w:rPr>
        <w:t>been raped (that is, physically forced to have sexual intercourse)?</w:t>
      </w:r>
      <w:r w:rsidR="00697A15">
        <w:rPr>
          <w:i/>
          <w:lang w:val="en-US" w:eastAsia="nb-NO"/>
        </w:rPr>
        <w:t xml:space="preserve"> </w:t>
      </w:r>
      <w:r w:rsidR="00697A15" w:rsidRPr="000D475F">
        <w:rPr>
          <w:lang w:val="en-US" w:eastAsia="nb-NO"/>
        </w:rPr>
        <w:t>And</w:t>
      </w:r>
      <w:r w:rsidR="00697A15">
        <w:rPr>
          <w:i/>
          <w:lang w:val="en-US" w:eastAsia="nb-NO"/>
        </w:rPr>
        <w:t xml:space="preserve"> </w:t>
      </w:r>
      <w:r w:rsidR="004566B6" w:rsidRPr="004566B6">
        <w:rPr>
          <w:i/>
          <w:lang w:val="en-US" w:eastAsia="nb-NO"/>
        </w:rPr>
        <w:t>Have you or anyone else in your household ever</w:t>
      </w:r>
      <w:r w:rsidR="004566B6">
        <w:rPr>
          <w:i/>
          <w:lang w:val="en-US" w:eastAsia="nb-NO"/>
        </w:rPr>
        <w:t xml:space="preserve"> </w:t>
      </w:r>
      <w:r w:rsidR="004566B6" w:rsidRPr="004566B6">
        <w:rPr>
          <w:i/>
          <w:lang w:val="en-US" w:eastAsia="nb-NO"/>
        </w:rPr>
        <w:t xml:space="preserve">been </w:t>
      </w:r>
      <w:r w:rsidR="0042327E">
        <w:rPr>
          <w:i/>
          <w:lang w:val="en-US" w:eastAsia="nb-NO"/>
        </w:rPr>
        <w:t>forced to perform other sexual acts?</w:t>
      </w:r>
      <w:r w:rsidR="00697A15">
        <w:rPr>
          <w:i/>
          <w:lang w:val="en-US" w:eastAsia="nb-NO"/>
        </w:rPr>
        <w:t xml:space="preserve"> </w:t>
      </w:r>
      <w:r w:rsidR="00697A15" w:rsidRPr="000D475F">
        <w:rPr>
          <w:lang w:val="en-US" w:eastAsia="nb-NO"/>
        </w:rPr>
        <w:t>We couple this with information from a subsequent question for each one, where the woman is asked whether the victim was herself and/or someone else.</w:t>
      </w:r>
      <w:r w:rsidR="00891A23">
        <w:rPr>
          <w:lang w:val="en-US" w:eastAsia="nb-NO"/>
        </w:rPr>
        <w:t xml:space="preserve"> </w:t>
      </w:r>
      <w:r w:rsidR="0042327E">
        <w:rPr>
          <w:lang w:val="en-US" w:eastAsia="nb-NO"/>
        </w:rPr>
        <w:t xml:space="preserve">All respondents who reported to have experienced either type of sexual violence were assigned the value ‘1’ on our survivor dummy. Otherwise they were coded as ‘0’. </w:t>
      </w:r>
      <w:r w:rsidR="00491721">
        <w:rPr>
          <w:lang w:val="en-US" w:eastAsia="nb-NO"/>
        </w:rPr>
        <w:t>According to this operationalization 420 woman, or 34.9% of our sample are SV survivors.</w:t>
      </w:r>
    </w:p>
    <w:p w14:paraId="768B4A9A" w14:textId="04F61D2F" w:rsidR="00D669E4" w:rsidRPr="000D475F" w:rsidRDefault="0042327E" w:rsidP="000D475F">
      <w:pPr>
        <w:rPr>
          <w:lang w:val="en-US"/>
        </w:rPr>
      </w:pPr>
      <w:r>
        <w:rPr>
          <w:lang w:val="en-US" w:eastAsia="nb-NO"/>
        </w:rPr>
        <w:t xml:space="preserve">Second, we created a variable for </w:t>
      </w:r>
      <w:r w:rsidRPr="0042327E">
        <w:rPr>
          <w:b/>
          <w:lang w:val="en-US" w:eastAsia="nb-NO"/>
        </w:rPr>
        <w:t>support program involvement</w:t>
      </w:r>
      <w:r>
        <w:rPr>
          <w:b/>
          <w:lang w:val="en-US" w:eastAsia="nb-NO"/>
        </w:rPr>
        <w:t xml:space="preserve"> </w:t>
      </w:r>
      <w:r>
        <w:rPr>
          <w:lang w:val="en-US" w:eastAsia="nb-NO"/>
        </w:rPr>
        <w:t>taking the value ‘1’ if the respondent was/had been</w:t>
      </w:r>
      <w:r w:rsidR="00491721">
        <w:rPr>
          <w:lang w:val="en-US" w:eastAsia="nb-NO"/>
        </w:rPr>
        <w:t xml:space="preserve"> involved in a support program</w:t>
      </w:r>
      <w:r>
        <w:rPr>
          <w:lang w:val="en-US" w:eastAsia="nb-NO"/>
        </w:rPr>
        <w:t xml:space="preserve"> (app. 80% of the sample) and ‘0’ otherwise (app. 20% of the sample). </w:t>
      </w:r>
    </w:p>
    <w:p w14:paraId="608DD2DD" w14:textId="23F1CCE7" w:rsidR="00491721" w:rsidRDefault="00B37A5B" w:rsidP="00491721">
      <w:pPr>
        <w:rPr>
          <w:lang w:val="en-US" w:eastAsia="nb-NO"/>
        </w:rPr>
      </w:pPr>
      <w:r>
        <w:rPr>
          <w:lang w:val="en-US" w:eastAsia="nb-NO"/>
        </w:rPr>
        <w:t>Since we would like to explore to which</w:t>
      </w:r>
      <w:r w:rsidR="00891A23">
        <w:rPr>
          <w:lang w:val="en-US" w:eastAsia="nb-NO"/>
        </w:rPr>
        <w:t xml:space="preserve"> extent</w:t>
      </w:r>
      <w:r>
        <w:rPr>
          <w:lang w:val="en-US" w:eastAsia="nb-NO"/>
        </w:rPr>
        <w:t xml:space="preserve"> support programs are successful of increasing the perception of social inclusion among survivors we also create an interaction effect multiplying the dummy for survivor with the dummy for program involvement.</w:t>
      </w:r>
      <w:r w:rsidR="00491721">
        <w:rPr>
          <w:lang w:val="en-US" w:eastAsia="nb-NO"/>
        </w:rPr>
        <w:t xml:space="preserve"> Not all survivors have been through support programs and not all program beneficiaries are survivors. </w:t>
      </w:r>
      <w:r w:rsidR="00891A23">
        <w:rPr>
          <w:lang w:val="en-US" w:eastAsia="nb-NO"/>
        </w:rPr>
        <w:t>In fact most of the program participants are non-survivors. This is often intentional in order to avoid stigma of “program-women”</w:t>
      </w:r>
      <w:r w:rsidR="00664196">
        <w:rPr>
          <w:lang w:val="en-US" w:eastAsia="nb-NO"/>
        </w:rPr>
        <w:t xml:space="preserve">. </w:t>
      </w:r>
      <w:r w:rsidR="00891A23">
        <w:rPr>
          <w:lang w:val="en-US" w:eastAsia="nb-NO"/>
        </w:rPr>
        <w:t xml:space="preserve"> </w:t>
      </w:r>
      <w:r w:rsidR="00491721">
        <w:rPr>
          <w:lang w:val="en-US" w:eastAsia="nb-NO"/>
        </w:rPr>
        <w:t xml:space="preserve">Table </w:t>
      </w:r>
      <w:r w:rsidR="00004B48">
        <w:rPr>
          <w:lang w:val="en-US" w:eastAsia="nb-NO"/>
        </w:rPr>
        <w:t xml:space="preserve">2 </w:t>
      </w:r>
      <w:r w:rsidR="00491721">
        <w:rPr>
          <w:lang w:val="en-US" w:eastAsia="nb-NO"/>
        </w:rPr>
        <w:t>below shows the distribution of program beneficiaries by survivor status.</w:t>
      </w:r>
    </w:p>
    <w:p w14:paraId="192AFEE3" w14:textId="77777777" w:rsidR="00505D9D" w:rsidRDefault="00505D9D" w:rsidP="00491721">
      <w:pPr>
        <w:rPr>
          <w:lang w:val="en-US" w:eastAsia="nb-NO"/>
        </w:rPr>
      </w:pPr>
    </w:p>
    <w:p w14:paraId="77AB95A2" w14:textId="3AB4DBC2" w:rsidR="00885C93" w:rsidRDefault="00170ECA" w:rsidP="00170ECA">
      <w:pPr>
        <w:ind w:firstLine="0"/>
        <w:rPr>
          <w:b/>
          <w:lang w:val="en-US"/>
        </w:rPr>
      </w:pPr>
      <w:r>
        <w:rPr>
          <w:b/>
          <w:lang w:val="en-US"/>
        </w:rPr>
        <w:t xml:space="preserve">Table </w:t>
      </w:r>
      <w:r w:rsidR="00004B48">
        <w:rPr>
          <w:b/>
          <w:lang w:val="en-US"/>
        </w:rPr>
        <w:t>2</w:t>
      </w:r>
      <w:r w:rsidRPr="00674AD4">
        <w:rPr>
          <w:b/>
          <w:lang w:val="en-US"/>
        </w:rPr>
        <w:t xml:space="preserve">. </w:t>
      </w:r>
      <w:r>
        <w:rPr>
          <w:b/>
          <w:lang w:val="en-US"/>
        </w:rPr>
        <w:t>S</w:t>
      </w:r>
      <w:r w:rsidR="006B1F5A">
        <w:rPr>
          <w:b/>
          <w:lang w:val="en-US"/>
        </w:rPr>
        <w:t>exual violence</w:t>
      </w:r>
      <w:r>
        <w:rPr>
          <w:b/>
          <w:lang w:val="en-US"/>
        </w:rPr>
        <w:t xml:space="preserve"> survivor status and support program exposure in sample</w:t>
      </w:r>
    </w:p>
    <w:tbl>
      <w:tblPr>
        <w:tblStyle w:val="MediumShading2"/>
        <w:tblW w:w="0" w:type="auto"/>
        <w:tblLook w:val="04A0" w:firstRow="1" w:lastRow="0" w:firstColumn="1" w:lastColumn="0" w:noHBand="0" w:noVBand="1"/>
      </w:tblPr>
      <w:tblGrid>
        <w:gridCol w:w="3369"/>
        <w:gridCol w:w="1275"/>
        <w:gridCol w:w="1418"/>
        <w:gridCol w:w="1559"/>
        <w:gridCol w:w="1553"/>
      </w:tblGrid>
      <w:tr w:rsidR="00885C93" w:rsidRPr="00885C93" w14:paraId="2FE83B43" w14:textId="77777777" w:rsidTr="000D47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69" w:type="dxa"/>
            <w:shd w:val="clear" w:color="auto" w:fill="7F7F7F" w:themeFill="text1" w:themeFillTint="80"/>
          </w:tcPr>
          <w:p w14:paraId="555C87FE" w14:textId="77777777" w:rsidR="00885C93" w:rsidRPr="00885C93" w:rsidRDefault="00885C93" w:rsidP="00170ECA">
            <w:pPr>
              <w:ind w:firstLine="0"/>
              <w:rPr>
                <w:b w:val="0"/>
                <w:lang w:val="en-US"/>
              </w:rPr>
            </w:pPr>
          </w:p>
        </w:tc>
        <w:tc>
          <w:tcPr>
            <w:tcW w:w="1275" w:type="dxa"/>
            <w:shd w:val="clear" w:color="auto" w:fill="7F7F7F" w:themeFill="text1" w:themeFillTint="80"/>
          </w:tcPr>
          <w:p w14:paraId="59D9FB2E" w14:textId="185AF76B" w:rsidR="00885C93" w:rsidRPr="00885C93" w:rsidRDefault="00885C93" w:rsidP="00170ECA">
            <w:pPr>
              <w:ind w:firstLine="0"/>
              <w:cnfStyle w:val="100000000000" w:firstRow="1" w:lastRow="0" w:firstColumn="0" w:lastColumn="0" w:oddVBand="0" w:evenVBand="0" w:oddHBand="0" w:evenHBand="0" w:firstRowFirstColumn="0" w:firstRowLastColumn="0" w:lastRowFirstColumn="0" w:lastRowLastColumn="0"/>
              <w:rPr>
                <w:b w:val="0"/>
                <w:lang w:val="en-US"/>
              </w:rPr>
            </w:pPr>
          </w:p>
        </w:tc>
        <w:tc>
          <w:tcPr>
            <w:tcW w:w="2977" w:type="dxa"/>
            <w:gridSpan w:val="2"/>
            <w:shd w:val="clear" w:color="auto" w:fill="7F7F7F" w:themeFill="text1" w:themeFillTint="80"/>
          </w:tcPr>
          <w:p w14:paraId="21D6EACA" w14:textId="74355127" w:rsidR="00885C93" w:rsidRPr="000D475F" w:rsidRDefault="00885C93" w:rsidP="000D475F">
            <w:pPr>
              <w:ind w:firstLine="0"/>
              <w:jc w:val="center"/>
              <w:cnfStyle w:val="100000000000" w:firstRow="1" w:lastRow="0" w:firstColumn="0" w:lastColumn="0" w:oddVBand="0" w:evenVBand="0" w:oddHBand="0" w:evenHBand="0" w:firstRowFirstColumn="0" w:firstRowLastColumn="0" w:lastRowFirstColumn="0" w:lastRowLastColumn="0"/>
              <w:rPr>
                <w:lang w:val="en-US"/>
              </w:rPr>
            </w:pPr>
            <w:r w:rsidRPr="00885C93">
              <w:rPr>
                <w:lang w:val="en-US"/>
              </w:rPr>
              <w:t>Survivor of SGBV</w:t>
            </w:r>
          </w:p>
        </w:tc>
        <w:tc>
          <w:tcPr>
            <w:tcW w:w="1553" w:type="dxa"/>
            <w:shd w:val="clear" w:color="auto" w:fill="7F7F7F" w:themeFill="text1" w:themeFillTint="80"/>
          </w:tcPr>
          <w:p w14:paraId="4CFA0D97" w14:textId="77777777" w:rsidR="00885C93" w:rsidRPr="00885C93" w:rsidRDefault="00885C93" w:rsidP="00170ECA">
            <w:pPr>
              <w:ind w:firstLine="0"/>
              <w:cnfStyle w:val="100000000000" w:firstRow="1" w:lastRow="0" w:firstColumn="0" w:lastColumn="0" w:oddVBand="0" w:evenVBand="0" w:oddHBand="0" w:evenHBand="0" w:firstRowFirstColumn="0" w:firstRowLastColumn="0" w:lastRowFirstColumn="0" w:lastRowLastColumn="0"/>
              <w:rPr>
                <w:b w:val="0"/>
                <w:lang w:val="en-US"/>
              </w:rPr>
            </w:pPr>
          </w:p>
        </w:tc>
      </w:tr>
      <w:tr w:rsidR="00FD1D5C" w:rsidRPr="00885C93" w14:paraId="3473CDFE" w14:textId="77777777" w:rsidTr="00FD1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7F7F7F" w:themeFill="text1" w:themeFillTint="80"/>
          </w:tcPr>
          <w:p w14:paraId="7B365845" w14:textId="3C774A8A" w:rsidR="00885C93" w:rsidRPr="000D475F" w:rsidRDefault="00885C93" w:rsidP="000D475F">
            <w:pPr>
              <w:ind w:firstLine="0"/>
              <w:jc w:val="left"/>
              <w:rPr>
                <w:lang w:val="en-US"/>
              </w:rPr>
            </w:pPr>
            <w:r w:rsidRPr="00885C93">
              <w:rPr>
                <w:lang w:val="en-US"/>
              </w:rPr>
              <w:t>Support Program participant</w:t>
            </w:r>
          </w:p>
        </w:tc>
        <w:tc>
          <w:tcPr>
            <w:tcW w:w="1275" w:type="dxa"/>
          </w:tcPr>
          <w:p w14:paraId="6EE55496" w14:textId="77777777" w:rsidR="00885C93" w:rsidRPr="000D475F" w:rsidRDefault="00885C93" w:rsidP="00170ECA">
            <w:pPr>
              <w:ind w:firstLine="0"/>
              <w:cnfStyle w:val="000000100000" w:firstRow="0" w:lastRow="0" w:firstColumn="0" w:lastColumn="0" w:oddVBand="0" w:evenVBand="0" w:oddHBand="1" w:evenHBand="0" w:firstRowFirstColumn="0" w:firstRowLastColumn="0" w:lastRowFirstColumn="0" w:lastRowLastColumn="0"/>
              <w:rPr>
                <w:lang w:val="en-US"/>
              </w:rPr>
            </w:pPr>
          </w:p>
        </w:tc>
        <w:tc>
          <w:tcPr>
            <w:tcW w:w="1418" w:type="dxa"/>
          </w:tcPr>
          <w:p w14:paraId="6EEAF28E" w14:textId="4A44B6FA" w:rsidR="00885C93" w:rsidRPr="00885C93" w:rsidRDefault="00885C93" w:rsidP="00170ECA">
            <w:pPr>
              <w:ind w:firstLine="0"/>
              <w:cnfStyle w:val="000000100000" w:firstRow="0" w:lastRow="0" w:firstColumn="0" w:lastColumn="0" w:oddVBand="0" w:evenVBand="0" w:oddHBand="1" w:evenHBand="0" w:firstRowFirstColumn="0" w:firstRowLastColumn="0" w:lastRowFirstColumn="0" w:lastRowLastColumn="0"/>
              <w:rPr>
                <w:b/>
                <w:lang w:val="en-US"/>
              </w:rPr>
            </w:pPr>
            <w:r w:rsidRPr="00885C93">
              <w:rPr>
                <w:b/>
                <w:lang w:val="en-US"/>
              </w:rPr>
              <w:t>No</w:t>
            </w:r>
          </w:p>
        </w:tc>
        <w:tc>
          <w:tcPr>
            <w:tcW w:w="1559" w:type="dxa"/>
          </w:tcPr>
          <w:p w14:paraId="4668195D" w14:textId="492C6EA9" w:rsidR="00885C93" w:rsidRPr="00FD1D5C" w:rsidRDefault="00885C93" w:rsidP="00170ECA">
            <w:pPr>
              <w:ind w:firstLine="0"/>
              <w:cnfStyle w:val="000000100000" w:firstRow="0" w:lastRow="0" w:firstColumn="0" w:lastColumn="0" w:oddVBand="0" w:evenVBand="0" w:oddHBand="1" w:evenHBand="0" w:firstRowFirstColumn="0" w:firstRowLastColumn="0" w:lastRowFirstColumn="0" w:lastRowLastColumn="0"/>
              <w:rPr>
                <w:b/>
                <w:lang w:val="en-US"/>
              </w:rPr>
            </w:pPr>
            <w:r w:rsidRPr="00FD1D5C">
              <w:rPr>
                <w:b/>
                <w:lang w:val="en-US"/>
              </w:rPr>
              <w:t>Yes</w:t>
            </w:r>
          </w:p>
        </w:tc>
        <w:tc>
          <w:tcPr>
            <w:tcW w:w="1553" w:type="dxa"/>
          </w:tcPr>
          <w:p w14:paraId="22A1CE4B" w14:textId="489E1B11" w:rsidR="00885C93" w:rsidRPr="00E87E79" w:rsidRDefault="00885C93" w:rsidP="00170ECA">
            <w:pPr>
              <w:ind w:firstLine="0"/>
              <w:cnfStyle w:val="000000100000" w:firstRow="0" w:lastRow="0" w:firstColumn="0" w:lastColumn="0" w:oddVBand="0" w:evenVBand="0" w:oddHBand="1" w:evenHBand="0" w:firstRowFirstColumn="0" w:firstRowLastColumn="0" w:lastRowFirstColumn="0" w:lastRowLastColumn="0"/>
              <w:rPr>
                <w:b/>
                <w:lang w:val="en-US"/>
              </w:rPr>
            </w:pPr>
            <w:r w:rsidRPr="00E87E79">
              <w:rPr>
                <w:b/>
                <w:lang w:val="en-US"/>
              </w:rPr>
              <w:t>Total</w:t>
            </w:r>
          </w:p>
        </w:tc>
      </w:tr>
      <w:tr w:rsidR="00885C93" w:rsidRPr="00885C93" w14:paraId="29918F4C" w14:textId="77777777" w:rsidTr="000D475F">
        <w:tc>
          <w:tcPr>
            <w:cnfStyle w:val="001000000000" w:firstRow="0" w:lastRow="0" w:firstColumn="1" w:lastColumn="0" w:oddVBand="0" w:evenVBand="0" w:oddHBand="0" w:evenHBand="0" w:firstRowFirstColumn="0" w:firstRowLastColumn="0" w:lastRowFirstColumn="0" w:lastRowLastColumn="0"/>
            <w:tcW w:w="3369" w:type="dxa"/>
            <w:shd w:val="clear" w:color="auto" w:fill="7F7F7F" w:themeFill="text1" w:themeFillTint="80"/>
          </w:tcPr>
          <w:p w14:paraId="59B24C55" w14:textId="1B1FFE6C" w:rsidR="00885C93" w:rsidRPr="00885C93" w:rsidRDefault="00885C93" w:rsidP="00170ECA">
            <w:pPr>
              <w:ind w:firstLine="0"/>
              <w:rPr>
                <w:b w:val="0"/>
                <w:lang w:val="en-US"/>
              </w:rPr>
            </w:pPr>
          </w:p>
        </w:tc>
        <w:tc>
          <w:tcPr>
            <w:tcW w:w="1275" w:type="dxa"/>
          </w:tcPr>
          <w:p w14:paraId="28274886" w14:textId="74813490" w:rsidR="00885C93" w:rsidRPr="00885C93" w:rsidRDefault="00885C93" w:rsidP="00170ECA">
            <w:pPr>
              <w:ind w:firstLine="0"/>
              <w:cnfStyle w:val="000000000000" w:firstRow="0" w:lastRow="0" w:firstColumn="0" w:lastColumn="0" w:oddVBand="0" w:evenVBand="0" w:oddHBand="0" w:evenHBand="0" w:firstRowFirstColumn="0" w:firstRowLastColumn="0" w:lastRowFirstColumn="0" w:lastRowLastColumn="0"/>
              <w:rPr>
                <w:b/>
                <w:lang w:val="en-US"/>
              </w:rPr>
            </w:pPr>
            <w:r w:rsidRPr="00885C93">
              <w:rPr>
                <w:b/>
                <w:lang w:val="en-US"/>
              </w:rPr>
              <w:t>No</w:t>
            </w:r>
          </w:p>
        </w:tc>
        <w:tc>
          <w:tcPr>
            <w:tcW w:w="1418" w:type="dxa"/>
          </w:tcPr>
          <w:p w14:paraId="061608E3" w14:textId="5CA08376" w:rsidR="00885C93" w:rsidRPr="000D475F" w:rsidRDefault="00885C93" w:rsidP="00170ECA">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201 (26%)</w:t>
            </w:r>
          </w:p>
        </w:tc>
        <w:tc>
          <w:tcPr>
            <w:tcW w:w="1559" w:type="dxa"/>
          </w:tcPr>
          <w:p w14:paraId="165F9587" w14:textId="763B6844" w:rsidR="00885C93" w:rsidRPr="000D475F" w:rsidRDefault="00885C93" w:rsidP="00170ECA">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50 (12%)</w:t>
            </w:r>
          </w:p>
        </w:tc>
        <w:tc>
          <w:tcPr>
            <w:tcW w:w="1553" w:type="dxa"/>
          </w:tcPr>
          <w:p w14:paraId="6BF82432" w14:textId="552F1128" w:rsidR="00885C93" w:rsidRPr="000D475F" w:rsidRDefault="00885C93" w:rsidP="00170ECA">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251 (21%)</w:t>
            </w:r>
          </w:p>
        </w:tc>
      </w:tr>
      <w:tr w:rsidR="00FD1D5C" w:rsidRPr="00885C93" w14:paraId="3E79ED18" w14:textId="77777777" w:rsidTr="00FD1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7F7F7F" w:themeFill="text1" w:themeFillTint="80"/>
          </w:tcPr>
          <w:p w14:paraId="5033171F" w14:textId="4DFB36AB" w:rsidR="00885C93" w:rsidRPr="00885C93" w:rsidRDefault="00885C93" w:rsidP="00170ECA">
            <w:pPr>
              <w:ind w:firstLine="0"/>
              <w:rPr>
                <w:b w:val="0"/>
                <w:lang w:val="en-US"/>
              </w:rPr>
            </w:pPr>
          </w:p>
        </w:tc>
        <w:tc>
          <w:tcPr>
            <w:tcW w:w="1275" w:type="dxa"/>
          </w:tcPr>
          <w:p w14:paraId="530AE929" w14:textId="5E57619F" w:rsidR="00885C93" w:rsidRPr="00885C93" w:rsidRDefault="00885C93" w:rsidP="00170ECA">
            <w:pPr>
              <w:ind w:firstLine="0"/>
              <w:cnfStyle w:val="000000100000" w:firstRow="0" w:lastRow="0" w:firstColumn="0" w:lastColumn="0" w:oddVBand="0" w:evenVBand="0" w:oddHBand="1" w:evenHBand="0" w:firstRowFirstColumn="0" w:firstRowLastColumn="0" w:lastRowFirstColumn="0" w:lastRowLastColumn="0"/>
              <w:rPr>
                <w:b/>
                <w:lang w:val="en-US"/>
              </w:rPr>
            </w:pPr>
            <w:r w:rsidRPr="00885C93">
              <w:rPr>
                <w:b/>
                <w:lang w:val="en-US"/>
              </w:rPr>
              <w:t>Yes</w:t>
            </w:r>
          </w:p>
        </w:tc>
        <w:tc>
          <w:tcPr>
            <w:tcW w:w="1418" w:type="dxa"/>
          </w:tcPr>
          <w:p w14:paraId="649FAF1F" w14:textId="110B7694" w:rsidR="00885C93" w:rsidRPr="000D475F" w:rsidRDefault="00885C93" w:rsidP="00170ECA">
            <w:pPr>
              <w:ind w:firstLine="0"/>
              <w:cnfStyle w:val="000000100000" w:firstRow="0" w:lastRow="0" w:firstColumn="0" w:lastColumn="0" w:oddVBand="0" w:evenVBand="0" w:oddHBand="1" w:evenHBand="0" w:firstRowFirstColumn="0" w:firstRowLastColumn="0" w:lastRowFirstColumn="0" w:lastRowLastColumn="0"/>
              <w:rPr>
                <w:lang w:val="en-US"/>
              </w:rPr>
            </w:pPr>
            <w:r w:rsidRPr="000D475F">
              <w:rPr>
                <w:lang w:val="en-US"/>
              </w:rPr>
              <w:t>582 (74%)</w:t>
            </w:r>
          </w:p>
        </w:tc>
        <w:tc>
          <w:tcPr>
            <w:tcW w:w="1559" w:type="dxa"/>
          </w:tcPr>
          <w:p w14:paraId="5D0E214F" w14:textId="07C0EE21" w:rsidR="00885C93" w:rsidRPr="000D475F" w:rsidRDefault="00885C93" w:rsidP="00170ECA">
            <w:pPr>
              <w:ind w:firstLine="0"/>
              <w:cnfStyle w:val="000000100000" w:firstRow="0" w:lastRow="0" w:firstColumn="0" w:lastColumn="0" w:oddVBand="0" w:evenVBand="0" w:oddHBand="1" w:evenHBand="0" w:firstRowFirstColumn="0" w:firstRowLastColumn="0" w:lastRowFirstColumn="0" w:lastRowLastColumn="0"/>
              <w:rPr>
                <w:lang w:val="en-US"/>
              </w:rPr>
            </w:pPr>
            <w:r w:rsidRPr="000D475F">
              <w:rPr>
                <w:lang w:val="en-US"/>
              </w:rPr>
              <w:t>370 (88%)</w:t>
            </w:r>
          </w:p>
        </w:tc>
        <w:tc>
          <w:tcPr>
            <w:tcW w:w="1553" w:type="dxa"/>
          </w:tcPr>
          <w:p w14:paraId="0220C6DE" w14:textId="261CC294" w:rsidR="00885C93" w:rsidRPr="000D475F" w:rsidRDefault="00885C93" w:rsidP="00170ECA">
            <w:pPr>
              <w:ind w:firstLine="0"/>
              <w:cnfStyle w:val="000000100000" w:firstRow="0" w:lastRow="0" w:firstColumn="0" w:lastColumn="0" w:oddVBand="0" w:evenVBand="0" w:oddHBand="1" w:evenHBand="0" w:firstRowFirstColumn="0" w:firstRowLastColumn="0" w:lastRowFirstColumn="0" w:lastRowLastColumn="0"/>
              <w:rPr>
                <w:lang w:val="en-US"/>
              </w:rPr>
            </w:pPr>
            <w:r w:rsidRPr="000D475F">
              <w:rPr>
                <w:lang w:val="en-US"/>
              </w:rPr>
              <w:t>952 (79%)</w:t>
            </w:r>
          </w:p>
        </w:tc>
      </w:tr>
      <w:tr w:rsidR="00885C93" w:rsidRPr="00885C93" w14:paraId="08C09605" w14:textId="77777777" w:rsidTr="000D475F">
        <w:tc>
          <w:tcPr>
            <w:cnfStyle w:val="001000000000" w:firstRow="0" w:lastRow="0" w:firstColumn="1" w:lastColumn="0" w:oddVBand="0" w:evenVBand="0" w:oddHBand="0" w:evenHBand="0" w:firstRowFirstColumn="0" w:firstRowLastColumn="0" w:lastRowFirstColumn="0" w:lastRowLastColumn="0"/>
            <w:tcW w:w="3369" w:type="dxa"/>
            <w:shd w:val="clear" w:color="auto" w:fill="7F7F7F" w:themeFill="text1" w:themeFillTint="80"/>
          </w:tcPr>
          <w:p w14:paraId="66897F45" w14:textId="6368D2A9" w:rsidR="00885C93" w:rsidRPr="00885C93" w:rsidRDefault="00885C93" w:rsidP="00170ECA">
            <w:pPr>
              <w:ind w:firstLine="0"/>
              <w:rPr>
                <w:b w:val="0"/>
                <w:lang w:val="en-US"/>
              </w:rPr>
            </w:pPr>
          </w:p>
        </w:tc>
        <w:tc>
          <w:tcPr>
            <w:tcW w:w="1275" w:type="dxa"/>
          </w:tcPr>
          <w:p w14:paraId="43E46AD5" w14:textId="5948F397" w:rsidR="00885C93" w:rsidRPr="00885C93" w:rsidRDefault="00885C93" w:rsidP="00170ECA">
            <w:pPr>
              <w:ind w:firstLine="0"/>
              <w:cnfStyle w:val="000000000000" w:firstRow="0" w:lastRow="0" w:firstColumn="0" w:lastColumn="0" w:oddVBand="0" w:evenVBand="0" w:oddHBand="0" w:evenHBand="0" w:firstRowFirstColumn="0" w:firstRowLastColumn="0" w:lastRowFirstColumn="0" w:lastRowLastColumn="0"/>
              <w:rPr>
                <w:b/>
                <w:lang w:val="en-US"/>
              </w:rPr>
            </w:pPr>
            <w:r w:rsidRPr="00885C93">
              <w:rPr>
                <w:b/>
                <w:lang w:val="en-US"/>
              </w:rPr>
              <w:t>Total</w:t>
            </w:r>
          </w:p>
        </w:tc>
        <w:tc>
          <w:tcPr>
            <w:tcW w:w="1418" w:type="dxa"/>
          </w:tcPr>
          <w:p w14:paraId="2CE35562" w14:textId="0E9F5339" w:rsidR="00885C93" w:rsidRPr="000D475F" w:rsidRDefault="00885C93" w:rsidP="00FD1D5C">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783</w:t>
            </w:r>
            <w:r w:rsidR="00FD1D5C">
              <w:rPr>
                <w:lang w:val="en-US"/>
              </w:rPr>
              <w:t xml:space="preserve"> (65%)</w:t>
            </w:r>
          </w:p>
        </w:tc>
        <w:tc>
          <w:tcPr>
            <w:tcW w:w="1559" w:type="dxa"/>
          </w:tcPr>
          <w:p w14:paraId="284F4893" w14:textId="45AECD13" w:rsidR="00885C93" w:rsidRPr="000D475F" w:rsidRDefault="00885C93" w:rsidP="00FD1D5C">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420</w:t>
            </w:r>
            <w:r w:rsidR="00FD1D5C">
              <w:rPr>
                <w:lang w:val="en-US"/>
              </w:rPr>
              <w:t xml:space="preserve"> (35%)</w:t>
            </w:r>
          </w:p>
        </w:tc>
        <w:tc>
          <w:tcPr>
            <w:tcW w:w="1553" w:type="dxa"/>
          </w:tcPr>
          <w:p w14:paraId="049FFD2F" w14:textId="7A17F4B4" w:rsidR="00885C93" w:rsidRPr="000D475F" w:rsidRDefault="00885C93" w:rsidP="00170ECA">
            <w:pPr>
              <w:ind w:firstLine="0"/>
              <w:cnfStyle w:val="000000000000" w:firstRow="0" w:lastRow="0" w:firstColumn="0" w:lastColumn="0" w:oddVBand="0" w:evenVBand="0" w:oddHBand="0" w:evenHBand="0" w:firstRowFirstColumn="0" w:firstRowLastColumn="0" w:lastRowFirstColumn="0" w:lastRowLastColumn="0"/>
              <w:rPr>
                <w:lang w:val="en-US"/>
              </w:rPr>
            </w:pPr>
            <w:r w:rsidRPr="000D475F">
              <w:rPr>
                <w:lang w:val="en-US"/>
              </w:rPr>
              <w:t>1,203 (100%)</w:t>
            </w:r>
          </w:p>
        </w:tc>
      </w:tr>
    </w:tbl>
    <w:p w14:paraId="0C985A92" w14:textId="77777777" w:rsidR="00885C93" w:rsidRDefault="00885C93" w:rsidP="00170ECA">
      <w:pPr>
        <w:ind w:firstLine="0"/>
        <w:rPr>
          <w:b/>
          <w:lang w:val="en-US"/>
        </w:rPr>
      </w:pPr>
    </w:p>
    <w:p w14:paraId="4F019D47" w14:textId="73EA8627" w:rsidR="0042327E" w:rsidRDefault="0053420E" w:rsidP="0053420E">
      <w:pPr>
        <w:pStyle w:val="Heading2"/>
      </w:pPr>
      <w:r>
        <w:t>Identification strategy</w:t>
      </w:r>
    </w:p>
    <w:p w14:paraId="0B70E6FB" w14:textId="63D673F9" w:rsidR="0055134F" w:rsidRDefault="0053420E" w:rsidP="000D475F">
      <w:pPr>
        <w:ind w:firstLine="0"/>
        <w:rPr>
          <w:lang w:val="en-US" w:eastAsia="nb-NO"/>
        </w:rPr>
      </w:pPr>
      <w:r>
        <w:rPr>
          <w:lang w:val="en-US" w:eastAsia="nb-NO"/>
        </w:rPr>
        <w:t xml:space="preserve">As the main dependent variable, </w:t>
      </w:r>
      <w:r w:rsidRPr="00004B48">
        <w:rPr>
          <w:i/>
          <w:lang w:val="en-US" w:eastAsia="nb-NO"/>
        </w:rPr>
        <w:t>perception of social inclusion</w:t>
      </w:r>
      <w:r>
        <w:rPr>
          <w:lang w:val="en-US" w:eastAsia="nb-NO"/>
        </w:rPr>
        <w:t>, is continuous</w:t>
      </w:r>
      <w:r w:rsidR="00891A23">
        <w:rPr>
          <w:lang w:val="en-US" w:eastAsia="nb-NO"/>
        </w:rPr>
        <w:t>,</w:t>
      </w:r>
      <w:r>
        <w:rPr>
          <w:lang w:val="en-US" w:eastAsia="nb-NO"/>
        </w:rPr>
        <w:t xml:space="preserve"> we use OLS regression. </w:t>
      </w:r>
      <w:r w:rsidRPr="00004B48">
        <w:rPr>
          <w:lang w:val="en-US"/>
        </w:rPr>
        <w:t>Descriptive variables of all the variables used are provided in Table</w:t>
      </w:r>
      <w:r w:rsidR="00E44A3E" w:rsidRPr="00004B48">
        <w:rPr>
          <w:lang w:val="en-US"/>
        </w:rPr>
        <w:t xml:space="preserve"> </w:t>
      </w:r>
      <w:r w:rsidR="00891A23" w:rsidRPr="00004B48">
        <w:rPr>
          <w:lang w:val="en-US"/>
        </w:rPr>
        <w:t>4</w:t>
      </w:r>
      <w:r w:rsidRPr="00004B48">
        <w:rPr>
          <w:lang w:val="en-US"/>
        </w:rPr>
        <w:t xml:space="preserve"> below.</w:t>
      </w:r>
      <w:r>
        <w:rPr>
          <w:lang w:val="en-US"/>
        </w:rPr>
        <w:t xml:space="preserve"> </w:t>
      </w:r>
      <w:r w:rsidR="00D309D4">
        <w:rPr>
          <w:lang w:val="en-US" w:eastAsia="nb-NO"/>
        </w:rPr>
        <w:t>In order t</w:t>
      </w:r>
      <w:r w:rsidR="00D309D4" w:rsidRPr="00D309D4">
        <w:rPr>
          <w:lang w:val="en-US" w:eastAsia="nb-NO"/>
        </w:rPr>
        <w:t>o estimate t</w:t>
      </w:r>
      <w:r w:rsidR="00D309D4">
        <w:rPr>
          <w:lang w:val="en-US" w:eastAsia="nb-NO"/>
        </w:rPr>
        <w:t>he impact of having experienced conflict-related sexual violence and/or being involved in support programs</w:t>
      </w:r>
      <w:r w:rsidR="00D309D4" w:rsidRPr="00D309D4">
        <w:rPr>
          <w:lang w:val="en-US" w:eastAsia="nb-NO"/>
        </w:rPr>
        <w:t xml:space="preserve"> on </w:t>
      </w:r>
      <w:r w:rsidR="00D309D4">
        <w:rPr>
          <w:lang w:val="en-US" w:eastAsia="nb-NO"/>
        </w:rPr>
        <w:t>the perceptions of social inclusion</w:t>
      </w:r>
      <w:r w:rsidR="00D309D4" w:rsidRPr="00D309D4">
        <w:rPr>
          <w:lang w:val="en-US" w:eastAsia="nb-NO"/>
        </w:rPr>
        <w:t xml:space="preserve"> it is important to control for confounding variab</w:t>
      </w:r>
      <w:r w:rsidR="00D309D4">
        <w:rPr>
          <w:lang w:val="en-US" w:eastAsia="nb-NO"/>
        </w:rPr>
        <w:t xml:space="preserve">les that might influence both the independent and dependent </w:t>
      </w:r>
      <w:r w:rsidR="00D309D4" w:rsidRPr="00D40CA9">
        <w:rPr>
          <w:lang w:val="en-US" w:eastAsia="nb-NO"/>
        </w:rPr>
        <w:t xml:space="preserve">variables. </w:t>
      </w:r>
      <w:r>
        <w:rPr>
          <w:lang w:val="en-US" w:eastAsia="nb-NO"/>
        </w:rPr>
        <w:t xml:space="preserve">Since we </w:t>
      </w:r>
      <w:r w:rsidR="00004B48">
        <w:rPr>
          <w:lang w:val="en-US" w:eastAsia="nb-NO"/>
        </w:rPr>
        <w:t xml:space="preserve">could not do an experimental design or assure a perfectly representative sample of women but </w:t>
      </w:r>
      <w:r>
        <w:rPr>
          <w:lang w:val="en-US" w:eastAsia="nb-NO"/>
        </w:rPr>
        <w:t xml:space="preserve">are interested in isolating the effect of support programs on the perception of social inclusion </w:t>
      </w:r>
      <w:r w:rsidR="00891A23">
        <w:rPr>
          <w:lang w:val="en-US" w:eastAsia="nb-NO"/>
        </w:rPr>
        <w:t>and economic wellbeing for survivors</w:t>
      </w:r>
      <w:r w:rsidR="00004B48">
        <w:rPr>
          <w:lang w:val="en-US" w:eastAsia="nb-NO"/>
        </w:rPr>
        <w:t>,</w:t>
      </w:r>
      <w:r w:rsidR="00891A23">
        <w:rPr>
          <w:lang w:val="en-US" w:eastAsia="nb-NO"/>
        </w:rPr>
        <w:t xml:space="preserve"> </w:t>
      </w:r>
      <w:r>
        <w:rPr>
          <w:lang w:val="en-US" w:eastAsia="nb-NO"/>
        </w:rPr>
        <w:t>we use matching</w:t>
      </w:r>
      <w:r w:rsidR="00004B48">
        <w:rPr>
          <w:lang w:val="en-US" w:eastAsia="nb-NO"/>
        </w:rPr>
        <w:t xml:space="preserve"> as the preferred method</w:t>
      </w:r>
      <w:r>
        <w:rPr>
          <w:lang w:val="en-US"/>
        </w:rPr>
        <w:t xml:space="preserve">. </w:t>
      </w:r>
      <w:r>
        <w:rPr>
          <w:lang w:val="en-US" w:eastAsia="nb-NO"/>
        </w:rPr>
        <w:t>W</w:t>
      </w:r>
      <w:r w:rsidR="0055134F">
        <w:rPr>
          <w:lang w:val="en-US" w:eastAsia="nb-NO"/>
        </w:rPr>
        <w:t>e rely on coarsened exact matching (CEM</w:t>
      </w:r>
      <w:r>
        <w:rPr>
          <w:lang w:val="en-US" w:eastAsia="nb-NO"/>
        </w:rPr>
        <w:t>)</w:t>
      </w:r>
      <w:r w:rsidRPr="0053420E">
        <w:rPr>
          <w:lang w:val="en-US" w:eastAsia="nb-NO"/>
        </w:rPr>
        <w:t xml:space="preserve"> </w:t>
      </w:r>
      <w:r w:rsidRPr="00C257F6">
        <w:rPr>
          <w:lang w:val="en-US" w:eastAsia="nb-NO"/>
        </w:rPr>
        <w:t xml:space="preserve">package </w:t>
      </w:r>
      <w:r>
        <w:rPr>
          <w:lang w:val="en-US" w:eastAsia="nb-NO"/>
        </w:rPr>
        <w:t>in Stata. CEM</w:t>
      </w:r>
      <w:r w:rsidR="0055134F">
        <w:rPr>
          <w:lang w:val="en-US" w:eastAsia="nb-NO"/>
        </w:rPr>
        <w:t xml:space="preserve"> is a monotonic imbalance-reducing matching method, which means that the imbalance in covariates between the treated (in our case program beneficiaries) and control group (non-program beneficiaries) is reduced.</w:t>
      </w:r>
      <w:r w:rsidR="0055134F" w:rsidRPr="00924914">
        <w:rPr>
          <w:lang w:val="en-US"/>
        </w:rPr>
        <w:t xml:space="preserve"> </w:t>
      </w:r>
      <w:r w:rsidR="0055134F" w:rsidRPr="00C257F6">
        <w:rPr>
          <w:lang w:val="en-US" w:eastAsia="nb-NO"/>
        </w:rPr>
        <w:t>Coa</w:t>
      </w:r>
      <w:r w:rsidR="0055134F">
        <w:rPr>
          <w:lang w:val="en-US" w:eastAsia="nb-NO"/>
        </w:rPr>
        <w:t>rsened exact matching is faster</w:t>
      </w:r>
      <w:r w:rsidR="0055134F" w:rsidRPr="00C257F6">
        <w:rPr>
          <w:lang w:val="en-US" w:eastAsia="nb-NO"/>
        </w:rPr>
        <w:t xml:space="preserve"> </w:t>
      </w:r>
      <w:r w:rsidR="0055134F">
        <w:rPr>
          <w:lang w:val="en-US" w:eastAsia="nb-NO"/>
        </w:rPr>
        <w:t xml:space="preserve">and </w:t>
      </w:r>
      <w:r w:rsidR="0055134F" w:rsidRPr="00C257F6">
        <w:rPr>
          <w:lang w:val="en-US" w:eastAsia="nb-NO"/>
        </w:rPr>
        <w:t>easier to use and understand, requires fewer assumptions, is</w:t>
      </w:r>
      <w:r w:rsidR="0055134F">
        <w:rPr>
          <w:lang w:val="en-US" w:eastAsia="nb-NO"/>
        </w:rPr>
        <w:t xml:space="preserve"> </w:t>
      </w:r>
      <w:r w:rsidR="0055134F" w:rsidRPr="00C257F6">
        <w:rPr>
          <w:lang w:val="en-US" w:eastAsia="nb-NO"/>
        </w:rPr>
        <w:t>more easily automated, and possesses more attractive statistical</w:t>
      </w:r>
      <w:r w:rsidR="0055134F">
        <w:rPr>
          <w:lang w:val="en-US" w:eastAsia="nb-NO"/>
        </w:rPr>
        <w:t xml:space="preserve"> </w:t>
      </w:r>
      <w:r w:rsidR="0055134F" w:rsidRPr="00C257F6">
        <w:rPr>
          <w:lang w:val="en-US" w:eastAsia="nb-NO"/>
        </w:rPr>
        <w:t xml:space="preserve">properties for many applications than do </w:t>
      </w:r>
      <w:r w:rsidR="0055134F">
        <w:rPr>
          <w:lang w:val="en-US" w:eastAsia="nb-NO"/>
        </w:rPr>
        <w:t>other</w:t>
      </w:r>
      <w:r w:rsidR="0055134F" w:rsidRPr="00C257F6">
        <w:rPr>
          <w:lang w:val="en-US" w:eastAsia="nb-NO"/>
        </w:rPr>
        <w:t xml:space="preserve"> matching</w:t>
      </w:r>
      <w:r w:rsidR="0055134F">
        <w:rPr>
          <w:lang w:val="en-US" w:eastAsia="nb-NO"/>
        </w:rPr>
        <w:t xml:space="preserve"> </w:t>
      </w:r>
      <w:r w:rsidR="0055134F" w:rsidRPr="00C257F6">
        <w:rPr>
          <w:lang w:val="en-US" w:eastAsia="nb-NO"/>
        </w:rPr>
        <w:t xml:space="preserve">methods. </w:t>
      </w:r>
      <w:r w:rsidR="0055134F">
        <w:rPr>
          <w:lang w:val="en-US" w:eastAsia="nb-NO"/>
        </w:rPr>
        <w:t>Through the use of CEM</w:t>
      </w:r>
      <w:r w:rsidR="0055134F" w:rsidRPr="00C257F6">
        <w:rPr>
          <w:lang w:val="en-US" w:eastAsia="nb-NO"/>
        </w:rPr>
        <w:t>, users temporarily coarsen</w:t>
      </w:r>
      <w:r w:rsidR="0055134F">
        <w:rPr>
          <w:lang w:val="en-US" w:eastAsia="nb-NO"/>
        </w:rPr>
        <w:t xml:space="preserve"> their</w:t>
      </w:r>
      <w:r w:rsidR="0055134F" w:rsidRPr="00C257F6">
        <w:rPr>
          <w:lang w:val="en-US" w:eastAsia="nb-NO"/>
        </w:rPr>
        <w:t xml:space="preserve"> data, exact match on these coarsened data, and then run</w:t>
      </w:r>
      <w:r w:rsidR="0055134F">
        <w:rPr>
          <w:lang w:val="en-US" w:eastAsia="nb-NO"/>
        </w:rPr>
        <w:t xml:space="preserve"> their analysis on </w:t>
      </w:r>
      <w:r w:rsidR="0055134F" w:rsidRPr="00C257F6">
        <w:rPr>
          <w:lang w:val="en-US" w:eastAsia="nb-NO"/>
        </w:rPr>
        <w:t xml:space="preserve">the uncoarsened, matched data. </w:t>
      </w:r>
      <w:r w:rsidR="0055134F">
        <w:rPr>
          <w:lang w:val="en-US" w:eastAsia="nb-NO"/>
        </w:rPr>
        <w:t>CEM</w:t>
      </w:r>
      <w:r w:rsidR="0055134F" w:rsidRPr="00C257F6">
        <w:rPr>
          <w:lang w:val="en-US" w:eastAsia="nb-NO"/>
        </w:rPr>
        <w:t xml:space="preserve"> bounds</w:t>
      </w:r>
      <w:r w:rsidR="0055134F">
        <w:rPr>
          <w:lang w:val="en-US" w:eastAsia="nb-NO"/>
        </w:rPr>
        <w:t xml:space="preserve"> the degree</w:t>
      </w:r>
      <w:r w:rsidR="0055134F" w:rsidRPr="00C257F6">
        <w:rPr>
          <w:lang w:val="en-US" w:eastAsia="nb-NO"/>
        </w:rPr>
        <w:t xml:space="preserve"> of model dependence and causal effect</w:t>
      </w:r>
      <w:r w:rsidR="0055134F">
        <w:rPr>
          <w:lang w:val="en-US" w:eastAsia="nb-NO"/>
        </w:rPr>
        <w:t xml:space="preserve"> </w:t>
      </w:r>
      <w:r w:rsidR="0055134F" w:rsidRPr="00C257F6">
        <w:rPr>
          <w:lang w:val="en-US" w:eastAsia="nb-NO"/>
        </w:rPr>
        <w:t>estimatio</w:t>
      </w:r>
      <w:r w:rsidR="0055134F">
        <w:rPr>
          <w:lang w:val="en-US" w:eastAsia="nb-NO"/>
        </w:rPr>
        <w:t xml:space="preserve">n error by </w:t>
      </w:r>
      <w:r w:rsidR="0055134F" w:rsidRPr="00332180">
        <w:rPr>
          <w:i/>
          <w:lang w:val="en-US" w:eastAsia="nb-NO"/>
        </w:rPr>
        <w:t>ex-ante</w:t>
      </w:r>
      <w:r w:rsidR="0055134F">
        <w:rPr>
          <w:lang w:val="en-US" w:eastAsia="nb-NO"/>
        </w:rPr>
        <w:t xml:space="preserve"> user choice,</w:t>
      </w:r>
      <w:r w:rsidR="0055134F" w:rsidRPr="00C257F6">
        <w:rPr>
          <w:lang w:val="en-US" w:eastAsia="nb-NO"/>
        </w:rPr>
        <w:t xml:space="preserve"> is monotonic imbalance</w:t>
      </w:r>
      <w:r w:rsidR="0055134F">
        <w:rPr>
          <w:lang w:val="en-US" w:eastAsia="nb-NO"/>
        </w:rPr>
        <w:t xml:space="preserve"> </w:t>
      </w:r>
      <w:r w:rsidR="0055134F" w:rsidRPr="00C257F6">
        <w:rPr>
          <w:lang w:val="en-US" w:eastAsia="nb-NO"/>
        </w:rPr>
        <w:t>bounding (so that reducing the maximum imbalance on one variable</w:t>
      </w:r>
      <w:r w:rsidR="0055134F">
        <w:rPr>
          <w:lang w:val="en-US" w:eastAsia="nb-NO"/>
        </w:rPr>
        <w:t xml:space="preserve"> </w:t>
      </w:r>
      <w:r w:rsidR="0055134F" w:rsidRPr="00C257F6">
        <w:rPr>
          <w:lang w:val="en-US" w:eastAsia="nb-NO"/>
        </w:rPr>
        <w:t>has no effect on others), does not require a separate pr</w:t>
      </w:r>
      <w:r w:rsidR="0055134F">
        <w:rPr>
          <w:lang w:val="en-US" w:eastAsia="nb-NO"/>
        </w:rPr>
        <w:t>ocedure</w:t>
      </w:r>
      <w:r w:rsidR="0055134F" w:rsidRPr="00C257F6">
        <w:rPr>
          <w:lang w:val="en-US" w:eastAsia="nb-NO"/>
        </w:rPr>
        <w:t xml:space="preserve"> to restrict data to common support, meets the congruence</w:t>
      </w:r>
      <w:r w:rsidR="0055134F">
        <w:rPr>
          <w:lang w:val="en-US" w:eastAsia="nb-NO"/>
        </w:rPr>
        <w:t xml:space="preserve"> </w:t>
      </w:r>
      <w:r w:rsidR="0055134F" w:rsidRPr="00C257F6">
        <w:rPr>
          <w:lang w:val="en-US" w:eastAsia="nb-NO"/>
        </w:rPr>
        <w:t>principle, is approximately invariant to measurement error,</w:t>
      </w:r>
      <w:r w:rsidR="0055134F">
        <w:rPr>
          <w:lang w:val="en-US" w:eastAsia="nb-NO"/>
        </w:rPr>
        <w:t xml:space="preserve"> and </w:t>
      </w:r>
      <w:r w:rsidR="0055134F" w:rsidRPr="00C257F6">
        <w:rPr>
          <w:lang w:val="en-US" w:eastAsia="nb-NO"/>
        </w:rPr>
        <w:t>balanc</w:t>
      </w:r>
      <w:r w:rsidR="0055134F">
        <w:rPr>
          <w:lang w:val="en-US" w:eastAsia="nb-NO"/>
        </w:rPr>
        <w:t>es all nonlinearities and</w:t>
      </w:r>
      <w:r w:rsidR="0055134F" w:rsidRPr="00C257F6">
        <w:rPr>
          <w:lang w:val="en-US" w:eastAsia="nb-NO"/>
        </w:rPr>
        <w:t xml:space="preserve"> interactions in sample (i.e.,</w:t>
      </w:r>
      <w:r w:rsidR="0055134F">
        <w:rPr>
          <w:lang w:val="en-US" w:eastAsia="nb-NO"/>
        </w:rPr>
        <w:t xml:space="preserve"> not merely in expectation).</w:t>
      </w:r>
      <w:r w:rsidR="0055134F">
        <w:rPr>
          <w:rStyle w:val="FootnoteReference"/>
          <w:lang w:val="en-US" w:eastAsia="nb-NO"/>
        </w:rPr>
        <w:footnoteReference w:id="6"/>
      </w:r>
      <w:r w:rsidR="0055134F" w:rsidRPr="00C257F6">
        <w:rPr>
          <w:lang w:val="en-US" w:eastAsia="nb-NO"/>
        </w:rPr>
        <w:t xml:space="preserve"> </w:t>
      </w:r>
    </w:p>
    <w:p w14:paraId="35AE221C" w14:textId="65A87409" w:rsidR="001A53CF" w:rsidRDefault="0053420E" w:rsidP="0055134F">
      <w:pPr>
        <w:rPr>
          <w:lang w:val="en-US" w:eastAsia="nb-NO"/>
        </w:rPr>
      </w:pPr>
      <w:r>
        <w:rPr>
          <w:lang w:val="en-US" w:eastAsia="nb-NO"/>
        </w:rPr>
        <w:t xml:space="preserve">First, </w:t>
      </w:r>
      <w:r w:rsidR="001A53CF">
        <w:rPr>
          <w:lang w:val="en-US" w:eastAsia="nb-NO"/>
        </w:rPr>
        <w:t xml:space="preserve">in order </w:t>
      </w:r>
      <w:r>
        <w:rPr>
          <w:lang w:val="en-US" w:eastAsia="nb-NO"/>
        </w:rPr>
        <w:t>t</w:t>
      </w:r>
      <w:r w:rsidR="0055134F">
        <w:rPr>
          <w:lang w:val="en-US" w:eastAsia="nb-NO"/>
        </w:rPr>
        <w:t xml:space="preserve">o estimate the effect of </w:t>
      </w:r>
      <w:r w:rsidR="001A53CF">
        <w:rPr>
          <w:lang w:val="en-US" w:eastAsia="nb-NO"/>
        </w:rPr>
        <w:t>survivor status on social exclusion and economic wellbeing we matched respondents on characteristics that are (i) unlikely to have changed due to survivor status, (ii) unlikely to be reported differently due to survivor status, but (iii) that are likely to influence social inclusion perceived economic wellbeing. These variables include a variable for age-category, education level, ethnic affiliation, religion, and territory of residence</w:t>
      </w:r>
      <w:r w:rsidR="00B054B5">
        <w:rPr>
          <w:lang w:val="en-US" w:eastAsia="nb-NO"/>
        </w:rPr>
        <w:t>. Further, in order to estimate the effect of program exposure we also match on survivor status as well as the mentioned variables.</w:t>
      </w:r>
    </w:p>
    <w:p w14:paraId="20660E6E" w14:textId="7AB5874D" w:rsidR="0055134F" w:rsidRDefault="0055134F" w:rsidP="0055134F">
      <w:pPr>
        <w:rPr>
          <w:lang w:val="en-US" w:eastAsia="nb-NO"/>
        </w:rPr>
      </w:pPr>
      <w:r>
        <w:rPr>
          <w:lang w:val="en-US" w:eastAsia="nb-NO"/>
        </w:rPr>
        <w:lastRenderedPageBreak/>
        <w:t>Once the data are matched, we fit a linear regression with strata fixed effect, assuming that the effect of the program is constant across all levels of the</w:t>
      </w:r>
      <w:r w:rsidR="0053420E">
        <w:rPr>
          <w:lang w:val="en-US" w:eastAsia="nb-NO"/>
        </w:rPr>
        <w:t xml:space="preserve"> </w:t>
      </w:r>
      <w:r>
        <w:rPr>
          <w:lang w:val="en-US" w:eastAsia="nb-NO"/>
        </w:rPr>
        <w:t>social inclusion ind</w:t>
      </w:r>
      <w:r w:rsidR="00004B48">
        <w:rPr>
          <w:lang w:val="en-US" w:eastAsia="nb-NO"/>
        </w:rPr>
        <w:t>ex</w:t>
      </w:r>
      <w:r w:rsidR="0053420E">
        <w:rPr>
          <w:lang w:val="en-US" w:eastAsia="nb-NO"/>
        </w:rPr>
        <w:t xml:space="preserve"> and the improved economic wellbeing variable</w:t>
      </w:r>
      <w:r>
        <w:rPr>
          <w:lang w:val="en-US" w:eastAsia="nb-NO"/>
        </w:rPr>
        <w:t>.</w:t>
      </w:r>
    </w:p>
    <w:p w14:paraId="056F6732" w14:textId="2D5854C5" w:rsidR="00C758B4" w:rsidRDefault="00004B48" w:rsidP="0055134F">
      <w:pPr>
        <w:rPr>
          <w:lang w:val="en-US" w:eastAsia="nb-NO"/>
        </w:rPr>
      </w:pPr>
      <w:r>
        <w:rPr>
          <w:lang w:val="en-US" w:eastAsia="nb-NO"/>
        </w:rPr>
        <w:t xml:space="preserve">Table 3, below, presents the descriptive statistics for all variables used in the analysis. </w:t>
      </w:r>
    </w:p>
    <w:p w14:paraId="28E5254D" w14:textId="77777777" w:rsidR="00C8442E" w:rsidRDefault="00C8442E" w:rsidP="00FC499A">
      <w:pPr>
        <w:ind w:firstLine="0"/>
        <w:rPr>
          <w:b/>
          <w:lang w:val="en-US"/>
        </w:rPr>
      </w:pPr>
    </w:p>
    <w:p w14:paraId="7D838562" w14:textId="746D32BD" w:rsidR="00FC499A" w:rsidRDefault="00FC499A" w:rsidP="00FC499A">
      <w:pPr>
        <w:ind w:firstLine="0"/>
        <w:rPr>
          <w:b/>
          <w:lang w:val="en-US"/>
        </w:rPr>
      </w:pPr>
      <w:r>
        <w:rPr>
          <w:b/>
          <w:lang w:val="en-US"/>
        </w:rPr>
        <w:t xml:space="preserve">Table </w:t>
      </w:r>
      <w:r w:rsidR="00004B48">
        <w:rPr>
          <w:b/>
          <w:lang w:val="en-US"/>
        </w:rPr>
        <w:t>3</w:t>
      </w:r>
      <w:r w:rsidRPr="00674AD4">
        <w:rPr>
          <w:b/>
          <w:lang w:val="en-US"/>
        </w:rPr>
        <w:t xml:space="preserve">. </w:t>
      </w:r>
      <w:r>
        <w:rPr>
          <w:b/>
          <w:lang w:val="en-US"/>
        </w:rPr>
        <w:t>Descriptive statistics</w:t>
      </w:r>
    </w:p>
    <w:tbl>
      <w:tblPr>
        <w:tblW w:w="9040" w:type="dxa"/>
        <w:tblInd w:w="55" w:type="dxa"/>
        <w:tblCellMar>
          <w:left w:w="70" w:type="dxa"/>
          <w:right w:w="70" w:type="dxa"/>
        </w:tblCellMar>
        <w:tblLook w:val="04A0" w:firstRow="1" w:lastRow="0" w:firstColumn="1" w:lastColumn="0" w:noHBand="0" w:noVBand="1"/>
      </w:tblPr>
      <w:tblGrid>
        <w:gridCol w:w="3417"/>
        <w:gridCol w:w="993"/>
        <w:gridCol w:w="1275"/>
        <w:gridCol w:w="1435"/>
        <w:gridCol w:w="960"/>
        <w:gridCol w:w="960"/>
      </w:tblGrid>
      <w:tr w:rsidR="00A9774A" w:rsidRPr="0083601F" w14:paraId="3357D73E" w14:textId="77777777" w:rsidTr="002874AC">
        <w:trPr>
          <w:trHeight w:val="300"/>
        </w:trPr>
        <w:tc>
          <w:tcPr>
            <w:tcW w:w="3417" w:type="dxa"/>
            <w:tcBorders>
              <w:top w:val="single" w:sz="4" w:space="0" w:color="auto"/>
              <w:left w:val="nil"/>
              <w:bottom w:val="single" w:sz="4" w:space="0" w:color="auto"/>
              <w:right w:val="nil"/>
            </w:tcBorders>
            <w:shd w:val="clear" w:color="auto" w:fill="auto"/>
            <w:noWrap/>
            <w:vAlign w:val="bottom"/>
            <w:hideMark/>
          </w:tcPr>
          <w:p w14:paraId="40F56546" w14:textId="77777777" w:rsidR="00A9774A" w:rsidRPr="0083601F" w:rsidRDefault="00A9774A" w:rsidP="002874AC">
            <w:pPr>
              <w:pStyle w:val="table2"/>
              <w:rPr>
                <w:lang w:eastAsia="zh-CN"/>
              </w:rPr>
            </w:pPr>
            <w:r w:rsidRPr="0083601F">
              <w:rPr>
                <w:lang w:eastAsia="zh-CN"/>
              </w:rPr>
              <w:t>Variable</w:t>
            </w:r>
          </w:p>
        </w:tc>
        <w:tc>
          <w:tcPr>
            <w:tcW w:w="993" w:type="dxa"/>
            <w:tcBorders>
              <w:top w:val="single" w:sz="4" w:space="0" w:color="auto"/>
              <w:left w:val="nil"/>
              <w:bottom w:val="single" w:sz="4" w:space="0" w:color="auto"/>
              <w:right w:val="nil"/>
            </w:tcBorders>
            <w:shd w:val="clear" w:color="auto" w:fill="auto"/>
            <w:noWrap/>
            <w:vAlign w:val="bottom"/>
            <w:hideMark/>
          </w:tcPr>
          <w:p w14:paraId="213B0D97" w14:textId="77777777" w:rsidR="00A9774A" w:rsidRPr="0083601F" w:rsidRDefault="00A9774A" w:rsidP="002874AC">
            <w:pPr>
              <w:pStyle w:val="table2"/>
              <w:jc w:val="right"/>
              <w:rPr>
                <w:lang w:eastAsia="zh-CN"/>
              </w:rPr>
            </w:pPr>
            <w:r w:rsidRPr="0083601F">
              <w:rPr>
                <w:lang w:eastAsia="zh-CN"/>
              </w:rPr>
              <w:t>Obs</w:t>
            </w:r>
          </w:p>
        </w:tc>
        <w:tc>
          <w:tcPr>
            <w:tcW w:w="1275" w:type="dxa"/>
            <w:tcBorders>
              <w:top w:val="single" w:sz="4" w:space="0" w:color="auto"/>
              <w:left w:val="nil"/>
              <w:bottom w:val="single" w:sz="4" w:space="0" w:color="auto"/>
              <w:right w:val="nil"/>
            </w:tcBorders>
            <w:shd w:val="clear" w:color="auto" w:fill="auto"/>
            <w:noWrap/>
            <w:vAlign w:val="bottom"/>
            <w:hideMark/>
          </w:tcPr>
          <w:p w14:paraId="7185278E" w14:textId="77777777" w:rsidR="00A9774A" w:rsidRPr="0083601F" w:rsidRDefault="00A9774A" w:rsidP="002874AC">
            <w:pPr>
              <w:pStyle w:val="table2"/>
              <w:jc w:val="right"/>
              <w:rPr>
                <w:lang w:eastAsia="zh-CN"/>
              </w:rPr>
            </w:pPr>
            <w:r w:rsidRPr="0083601F">
              <w:rPr>
                <w:lang w:eastAsia="zh-CN"/>
              </w:rPr>
              <w:t>Mean</w:t>
            </w:r>
          </w:p>
        </w:tc>
        <w:tc>
          <w:tcPr>
            <w:tcW w:w="1435" w:type="dxa"/>
            <w:tcBorders>
              <w:top w:val="single" w:sz="4" w:space="0" w:color="auto"/>
              <w:left w:val="nil"/>
              <w:bottom w:val="single" w:sz="4" w:space="0" w:color="auto"/>
              <w:right w:val="nil"/>
            </w:tcBorders>
            <w:shd w:val="clear" w:color="auto" w:fill="auto"/>
            <w:noWrap/>
            <w:vAlign w:val="bottom"/>
            <w:hideMark/>
          </w:tcPr>
          <w:p w14:paraId="1C4B5A4A" w14:textId="77777777" w:rsidR="00A9774A" w:rsidRPr="0083601F" w:rsidRDefault="00A9774A" w:rsidP="002874AC">
            <w:pPr>
              <w:pStyle w:val="table2"/>
              <w:jc w:val="right"/>
              <w:rPr>
                <w:lang w:eastAsia="zh-CN"/>
              </w:rPr>
            </w:pPr>
            <w:r w:rsidRPr="0083601F">
              <w:rPr>
                <w:lang w:eastAsia="zh-CN"/>
              </w:rPr>
              <w:t>Std. Dev.</w:t>
            </w:r>
          </w:p>
        </w:tc>
        <w:tc>
          <w:tcPr>
            <w:tcW w:w="960" w:type="dxa"/>
            <w:tcBorders>
              <w:top w:val="single" w:sz="4" w:space="0" w:color="auto"/>
              <w:left w:val="nil"/>
              <w:bottom w:val="single" w:sz="4" w:space="0" w:color="auto"/>
              <w:right w:val="nil"/>
            </w:tcBorders>
            <w:shd w:val="clear" w:color="auto" w:fill="auto"/>
            <w:noWrap/>
            <w:vAlign w:val="bottom"/>
            <w:hideMark/>
          </w:tcPr>
          <w:p w14:paraId="11D38B59" w14:textId="77777777" w:rsidR="00A9774A" w:rsidRPr="0083601F" w:rsidRDefault="00A9774A" w:rsidP="002874AC">
            <w:pPr>
              <w:pStyle w:val="table2"/>
              <w:jc w:val="right"/>
              <w:rPr>
                <w:lang w:eastAsia="zh-CN"/>
              </w:rPr>
            </w:pPr>
            <w:r w:rsidRPr="0083601F">
              <w:rPr>
                <w:lang w:eastAsia="zh-CN"/>
              </w:rPr>
              <w:t>Min</w:t>
            </w:r>
          </w:p>
        </w:tc>
        <w:tc>
          <w:tcPr>
            <w:tcW w:w="960" w:type="dxa"/>
            <w:tcBorders>
              <w:top w:val="single" w:sz="4" w:space="0" w:color="auto"/>
              <w:left w:val="nil"/>
              <w:bottom w:val="single" w:sz="4" w:space="0" w:color="auto"/>
              <w:right w:val="nil"/>
            </w:tcBorders>
            <w:shd w:val="clear" w:color="auto" w:fill="auto"/>
            <w:noWrap/>
            <w:vAlign w:val="bottom"/>
            <w:hideMark/>
          </w:tcPr>
          <w:p w14:paraId="7B958D3A" w14:textId="77777777" w:rsidR="00A9774A" w:rsidRPr="0083601F" w:rsidRDefault="00A9774A" w:rsidP="002874AC">
            <w:pPr>
              <w:pStyle w:val="table2"/>
              <w:jc w:val="right"/>
              <w:rPr>
                <w:lang w:eastAsia="zh-CN"/>
              </w:rPr>
            </w:pPr>
            <w:r w:rsidRPr="0083601F">
              <w:rPr>
                <w:lang w:eastAsia="zh-CN"/>
              </w:rPr>
              <w:t>Max</w:t>
            </w:r>
          </w:p>
        </w:tc>
      </w:tr>
      <w:tr w:rsidR="00A9774A" w:rsidRPr="007E4BEF" w14:paraId="2C70AA6A" w14:textId="77777777" w:rsidTr="002874AC">
        <w:trPr>
          <w:trHeight w:val="300"/>
        </w:trPr>
        <w:tc>
          <w:tcPr>
            <w:tcW w:w="3417" w:type="dxa"/>
            <w:tcBorders>
              <w:top w:val="nil"/>
              <w:left w:val="nil"/>
              <w:bottom w:val="nil"/>
              <w:right w:val="nil"/>
            </w:tcBorders>
            <w:shd w:val="clear" w:color="auto" w:fill="auto"/>
            <w:noWrap/>
            <w:vAlign w:val="bottom"/>
            <w:hideMark/>
          </w:tcPr>
          <w:p w14:paraId="7139D6B8" w14:textId="5AD4F37F" w:rsidR="00A9774A" w:rsidRPr="0083601F" w:rsidRDefault="004678A8" w:rsidP="002874AC">
            <w:pPr>
              <w:pStyle w:val="table2"/>
              <w:rPr>
                <w:bCs/>
                <w:lang w:eastAsia="zh-CN"/>
              </w:rPr>
            </w:pPr>
            <w:r>
              <w:rPr>
                <w:bCs/>
                <w:lang w:eastAsia="zh-CN"/>
              </w:rPr>
              <w:t>S</w:t>
            </w:r>
            <w:r w:rsidR="00A9774A" w:rsidRPr="009269E8">
              <w:rPr>
                <w:bCs/>
                <w:lang w:eastAsia="zh-CN"/>
              </w:rPr>
              <w:t>ocial inclusion (index)</w:t>
            </w:r>
          </w:p>
        </w:tc>
        <w:tc>
          <w:tcPr>
            <w:tcW w:w="993" w:type="dxa"/>
            <w:tcBorders>
              <w:top w:val="nil"/>
              <w:left w:val="nil"/>
              <w:bottom w:val="nil"/>
              <w:right w:val="nil"/>
            </w:tcBorders>
            <w:shd w:val="clear" w:color="auto" w:fill="auto"/>
            <w:noWrap/>
            <w:vAlign w:val="bottom"/>
            <w:hideMark/>
          </w:tcPr>
          <w:p w14:paraId="52EF4DE6"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418C508A" w14:textId="1ED722FD" w:rsidR="00A9774A" w:rsidRPr="007E4BEF" w:rsidRDefault="00A9774A" w:rsidP="002874AC">
            <w:pPr>
              <w:pStyle w:val="table2"/>
              <w:jc w:val="right"/>
              <w:rPr>
                <w:lang w:eastAsia="zh-CN"/>
              </w:rPr>
            </w:pPr>
            <w:r>
              <w:rPr>
                <w:lang w:eastAsia="zh-CN"/>
              </w:rPr>
              <w:t>11.106</w:t>
            </w:r>
          </w:p>
        </w:tc>
        <w:tc>
          <w:tcPr>
            <w:tcW w:w="1435" w:type="dxa"/>
            <w:tcBorders>
              <w:top w:val="nil"/>
              <w:left w:val="nil"/>
              <w:bottom w:val="nil"/>
              <w:right w:val="nil"/>
            </w:tcBorders>
            <w:shd w:val="clear" w:color="auto" w:fill="auto"/>
            <w:noWrap/>
            <w:vAlign w:val="bottom"/>
            <w:hideMark/>
          </w:tcPr>
          <w:p w14:paraId="3EFA8BC2" w14:textId="41375913" w:rsidR="00A9774A" w:rsidRPr="007E4BEF" w:rsidRDefault="00A9774A" w:rsidP="002874AC">
            <w:pPr>
              <w:pStyle w:val="table2"/>
              <w:jc w:val="right"/>
              <w:rPr>
                <w:lang w:eastAsia="zh-CN"/>
              </w:rPr>
            </w:pPr>
            <w:r>
              <w:rPr>
                <w:lang w:eastAsia="zh-CN"/>
              </w:rPr>
              <w:t>3.327</w:t>
            </w:r>
          </w:p>
        </w:tc>
        <w:tc>
          <w:tcPr>
            <w:tcW w:w="960" w:type="dxa"/>
            <w:tcBorders>
              <w:top w:val="nil"/>
              <w:left w:val="nil"/>
              <w:bottom w:val="nil"/>
              <w:right w:val="nil"/>
            </w:tcBorders>
            <w:shd w:val="clear" w:color="auto" w:fill="auto"/>
            <w:noWrap/>
            <w:vAlign w:val="bottom"/>
            <w:hideMark/>
          </w:tcPr>
          <w:p w14:paraId="2CD07236"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53BA4833" w14:textId="052EBA8B" w:rsidR="00A9774A" w:rsidRPr="007E4BEF" w:rsidRDefault="00A9774A" w:rsidP="002874AC">
            <w:pPr>
              <w:pStyle w:val="table2"/>
              <w:jc w:val="right"/>
              <w:rPr>
                <w:lang w:eastAsia="zh-CN"/>
              </w:rPr>
            </w:pPr>
            <w:r w:rsidRPr="007E4BEF">
              <w:rPr>
                <w:lang w:eastAsia="zh-CN"/>
              </w:rPr>
              <w:t>1</w:t>
            </w:r>
            <w:r>
              <w:rPr>
                <w:lang w:eastAsia="zh-CN"/>
              </w:rPr>
              <w:t>8</w:t>
            </w:r>
          </w:p>
        </w:tc>
      </w:tr>
      <w:tr w:rsidR="00A9774A" w:rsidRPr="007E4BEF" w14:paraId="5B770634" w14:textId="77777777" w:rsidTr="002874AC">
        <w:trPr>
          <w:trHeight w:val="300"/>
        </w:trPr>
        <w:tc>
          <w:tcPr>
            <w:tcW w:w="3417" w:type="dxa"/>
            <w:tcBorders>
              <w:top w:val="nil"/>
              <w:left w:val="nil"/>
              <w:bottom w:val="nil"/>
              <w:right w:val="nil"/>
            </w:tcBorders>
            <w:shd w:val="clear" w:color="auto" w:fill="auto"/>
            <w:noWrap/>
            <w:vAlign w:val="bottom"/>
          </w:tcPr>
          <w:p w14:paraId="79466ED5" w14:textId="028CA5B4" w:rsidR="00A9774A" w:rsidRPr="009269E8" w:rsidRDefault="004678A8" w:rsidP="002874AC">
            <w:pPr>
              <w:pStyle w:val="table2"/>
              <w:rPr>
                <w:bCs/>
                <w:lang w:eastAsia="zh-CN"/>
              </w:rPr>
            </w:pPr>
            <w:r>
              <w:rPr>
                <w:bCs/>
                <w:lang w:eastAsia="zh-CN"/>
              </w:rPr>
              <w:t>P</w:t>
            </w:r>
            <w:r w:rsidR="00A9774A">
              <w:rPr>
                <w:bCs/>
                <w:lang w:eastAsia="zh-CN"/>
              </w:rPr>
              <w:t>erceived improved living conditions</w:t>
            </w:r>
          </w:p>
        </w:tc>
        <w:tc>
          <w:tcPr>
            <w:tcW w:w="993" w:type="dxa"/>
            <w:tcBorders>
              <w:top w:val="nil"/>
              <w:left w:val="nil"/>
              <w:bottom w:val="nil"/>
              <w:right w:val="nil"/>
            </w:tcBorders>
            <w:shd w:val="clear" w:color="auto" w:fill="auto"/>
            <w:noWrap/>
            <w:vAlign w:val="bottom"/>
          </w:tcPr>
          <w:p w14:paraId="1E16E8C7" w14:textId="77777777" w:rsidR="00A9774A" w:rsidRPr="007E4BEF" w:rsidRDefault="00A9774A" w:rsidP="002874AC">
            <w:pPr>
              <w:pStyle w:val="table2"/>
              <w:jc w:val="right"/>
              <w:rPr>
                <w:lang w:eastAsia="zh-CN"/>
              </w:rPr>
            </w:pPr>
            <w:r>
              <w:rPr>
                <w:lang w:eastAsia="zh-CN"/>
              </w:rPr>
              <w:t>1,161</w:t>
            </w:r>
          </w:p>
        </w:tc>
        <w:tc>
          <w:tcPr>
            <w:tcW w:w="1275" w:type="dxa"/>
            <w:tcBorders>
              <w:top w:val="nil"/>
              <w:left w:val="nil"/>
              <w:bottom w:val="nil"/>
              <w:right w:val="nil"/>
            </w:tcBorders>
            <w:shd w:val="clear" w:color="auto" w:fill="auto"/>
            <w:noWrap/>
            <w:vAlign w:val="bottom"/>
          </w:tcPr>
          <w:p w14:paraId="6FECD675" w14:textId="77777777" w:rsidR="00A9774A" w:rsidRPr="007E4BEF" w:rsidRDefault="00A9774A" w:rsidP="002874AC">
            <w:pPr>
              <w:pStyle w:val="table2"/>
              <w:jc w:val="right"/>
              <w:rPr>
                <w:lang w:eastAsia="zh-CN"/>
              </w:rPr>
            </w:pPr>
            <w:r>
              <w:rPr>
                <w:lang w:eastAsia="zh-CN"/>
              </w:rPr>
              <w:t>2.363</w:t>
            </w:r>
          </w:p>
        </w:tc>
        <w:tc>
          <w:tcPr>
            <w:tcW w:w="1435" w:type="dxa"/>
            <w:tcBorders>
              <w:top w:val="nil"/>
              <w:left w:val="nil"/>
              <w:bottom w:val="nil"/>
              <w:right w:val="nil"/>
            </w:tcBorders>
            <w:shd w:val="clear" w:color="auto" w:fill="auto"/>
            <w:noWrap/>
            <w:vAlign w:val="bottom"/>
          </w:tcPr>
          <w:p w14:paraId="6BEC413C" w14:textId="77777777" w:rsidR="00A9774A" w:rsidRPr="007E4BEF" w:rsidRDefault="00A9774A" w:rsidP="002874AC">
            <w:pPr>
              <w:pStyle w:val="table2"/>
              <w:jc w:val="right"/>
              <w:rPr>
                <w:lang w:eastAsia="zh-CN"/>
              </w:rPr>
            </w:pPr>
            <w:r>
              <w:rPr>
                <w:lang w:eastAsia="zh-CN"/>
              </w:rPr>
              <w:t>0.995</w:t>
            </w:r>
          </w:p>
        </w:tc>
        <w:tc>
          <w:tcPr>
            <w:tcW w:w="960" w:type="dxa"/>
            <w:tcBorders>
              <w:top w:val="nil"/>
              <w:left w:val="nil"/>
              <w:bottom w:val="nil"/>
              <w:right w:val="nil"/>
            </w:tcBorders>
            <w:shd w:val="clear" w:color="auto" w:fill="auto"/>
            <w:noWrap/>
            <w:vAlign w:val="bottom"/>
          </w:tcPr>
          <w:p w14:paraId="618F88DD" w14:textId="77777777" w:rsidR="00A9774A" w:rsidRPr="007E4BEF" w:rsidRDefault="00A9774A" w:rsidP="002874AC">
            <w:pPr>
              <w:pStyle w:val="table2"/>
              <w:jc w:val="right"/>
              <w:rPr>
                <w:lang w:eastAsia="zh-CN"/>
              </w:rPr>
            </w:pPr>
            <w:r>
              <w:rPr>
                <w:lang w:eastAsia="zh-CN"/>
              </w:rPr>
              <w:t>0</w:t>
            </w:r>
          </w:p>
        </w:tc>
        <w:tc>
          <w:tcPr>
            <w:tcW w:w="960" w:type="dxa"/>
            <w:tcBorders>
              <w:top w:val="nil"/>
              <w:left w:val="nil"/>
              <w:bottom w:val="nil"/>
              <w:right w:val="nil"/>
            </w:tcBorders>
            <w:shd w:val="clear" w:color="auto" w:fill="auto"/>
            <w:noWrap/>
            <w:vAlign w:val="bottom"/>
          </w:tcPr>
          <w:p w14:paraId="5A82800B" w14:textId="77777777" w:rsidR="00A9774A" w:rsidRPr="007E4BEF" w:rsidRDefault="00A9774A" w:rsidP="002874AC">
            <w:pPr>
              <w:pStyle w:val="table2"/>
              <w:jc w:val="right"/>
              <w:rPr>
                <w:lang w:eastAsia="zh-CN"/>
              </w:rPr>
            </w:pPr>
            <w:r>
              <w:rPr>
                <w:lang w:eastAsia="zh-CN"/>
              </w:rPr>
              <w:t>4</w:t>
            </w:r>
          </w:p>
        </w:tc>
      </w:tr>
      <w:tr w:rsidR="00A9774A" w:rsidRPr="007E4BEF" w14:paraId="2A16C55B" w14:textId="77777777" w:rsidTr="002874AC">
        <w:trPr>
          <w:trHeight w:val="300"/>
        </w:trPr>
        <w:tc>
          <w:tcPr>
            <w:tcW w:w="3417" w:type="dxa"/>
            <w:tcBorders>
              <w:top w:val="nil"/>
              <w:left w:val="nil"/>
              <w:bottom w:val="nil"/>
              <w:right w:val="nil"/>
            </w:tcBorders>
            <w:shd w:val="clear" w:color="auto" w:fill="auto"/>
            <w:noWrap/>
            <w:vAlign w:val="bottom"/>
            <w:hideMark/>
          </w:tcPr>
          <w:p w14:paraId="0035DB6D" w14:textId="596E4C40" w:rsidR="00A9774A" w:rsidRPr="0083601F" w:rsidRDefault="004678A8" w:rsidP="002874AC">
            <w:pPr>
              <w:pStyle w:val="table2"/>
              <w:rPr>
                <w:bCs/>
                <w:lang w:eastAsia="zh-CN"/>
              </w:rPr>
            </w:pPr>
            <w:r>
              <w:rPr>
                <w:bCs/>
                <w:lang w:eastAsia="zh-CN"/>
              </w:rPr>
              <w:t>SV</w:t>
            </w:r>
            <w:r w:rsidR="00A9774A" w:rsidRPr="009269E8">
              <w:rPr>
                <w:bCs/>
                <w:lang w:eastAsia="zh-CN"/>
              </w:rPr>
              <w:t xml:space="preserve"> survivor</w:t>
            </w:r>
          </w:p>
        </w:tc>
        <w:tc>
          <w:tcPr>
            <w:tcW w:w="993" w:type="dxa"/>
            <w:tcBorders>
              <w:top w:val="nil"/>
              <w:left w:val="nil"/>
              <w:bottom w:val="nil"/>
              <w:right w:val="nil"/>
            </w:tcBorders>
            <w:shd w:val="clear" w:color="auto" w:fill="auto"/>
            <w:noWrap/>
            <w:vAlign w:val="bottom"/>
            <w:hideMark/>
          </w:tcPr>
          <w:p w14:paraId="2D2F929B"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15180C05" w14:textId="77777777" w:rsidR="00A9774A" w:rsidRPr="007E4BEF" w:rsidRDefault="00A9774A" w:rsidP="002874AC">
            <w:pPr>
              <w:pStyle w:val="table2"/>
              <w:jc w:val="right"/>
              <w:rPr>
                <w:lang w:eastAsia="zh-CN"/>
              </w:rPr>
            </w:pPr>
            <w:r w:rsidRPr="007E4BEF">
              <w:rPr>
                <w:lang w:eastAsia="zh-CN"/>
              </w:rPr>
              <w:t>0.360</w:t>
            </w:r>
          </w:p>
        </w:tc>
        <w:tc>
          <w:tcPr>
            <w:tcW w:w="1435" w:type="dxa"/>
            <w:tcBorders>
              <w:top w:val="nil"/>
              <w:left w:val="nil"/>
              <w:bottom w:val="nil"/>
              <w:right w:val="nil"/>
            </w:tcBorders>
            <w:shd w:val="clear" w:color="auto" w:fill="auto"/>
            <w:noWrap/>
            <w:vAlign w:val="bottom"/>
            <w:hideMark/>
          </w:tcPr>
          <w:p w14:paraId="5691D729" w14:textId="77777777" w:rsidR="00A9774A" w:rsidRPr="007E4BEF" w:rsidRDefault="00A9774A" w:rsidP="002874AC">
            <w:pPr>
              <w:pStyle w:val="table2"/>
              <w:jc w:val="right"/>
              <w:rPr>
                <w:lang w:eastAsia="zh-CN"/>
              </w:rPr>
            </w:pPr>
            <w:r w:rsidRPr="007E4BEF">
              <w:rPr>
                <w:lang w:eastAsia="zh-CN"/>
              </w:rPr>
              <w:t>0.480</w:t>
            </w:r>
          </w:p>
        </w:tc>
        <w:tc>
          <w:tcPr>
            <w:tcW w:w="960" w:type="dxa"/>
            <w:tcBorders>
              <w:top w:val="nil"/>
              <w:left w:val="nil"/>
              <w:bottom w:val="nil"/>
              <w:right w:val="nil"/>
            </w:tcBorders>
            <w:shd w:val="clear" w:color="auto" w:fill="auto"/>
            <w:noWrap/>
            <w:vAlign w:val="bottom"/>
            <w:hideMark/>
          </w:tcPr>
          <w:p w14:paraId="33F81457"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4F311C48" w14:textId="77777777" w:rsidR="00A9774A" w:rsidRPr="007E4BEF" w:rsidRDefault="00A9774A" w:rsidP="002874AC">
            <w:pPr>
              <w:pStyle w:val="table2"/>
              <w:jc w:val="right"/>
              <w:rPr>
                <w:lang w:eastAsia="zh-CN"/>
              </w:rPr>
            </w:pPr>
            <w:r w:rsidRPr="007E4BEF">
              <w:rPr>
                <w:lang w:eastAsia="zh-CN"/>
              </w:rPr>
              <w:t>1</w:t>
            </w:r>
          </w:p>
        </w:tc>
      </w:tr>
      <w:tr w:rsidR="00A9774A" w:rsidRPr="007E4BEF" w14:paraId="0BCD033F" w14:textId="77777777" w:rsidTr="002874AC">
        <w:trPr>
          <w:trHeight w:val="300"/>
        </w:trPr>
        <w:tc>
          <w:tcPr>
            <w:tcW w:w="3417" w:type="dxa"/>
            <w:tcBorders>
              <w:top w:val="nil"/>
              <w:left w:val="nil"/>
              <w:bottom w:val="nil"/>
              <w:right w:val="nil"/>
            </w:tcBorders>
            <w:shd w:val="clear" w:color="auto" w:fill="auto"/>
            <w:noWrap/>
            <w:vAlign w:val="bottom"/>
            <w:hideMark/>
          </w:tcPr>
          <w:p w14:paraId="469E0DAC" w14:textId="60C913E3" w:rsidR="00A9774A" w:rsidRPr="0083601F" w:rsidRDefault="004678A8" w:rsidP="002874AC">
            <w:pPr>
              <w:pStyle w:val="table2"/>
              <w:rPr>
                <w:bCs/>
                <w:lang w:eastAsia="zh-CN"/>
              </w:rPr>
            </w:pPr>
            <w:r>
              <w:rPr>
                <w:bCs/>
                <w:lang w:eastAsia="zh-CN"/>
              </w:rPr>
              <w:t>S</w:t>
            </w:r>
            <w:r w:rsidR="00A9774A" w:rsidRPr="009269E8">
              <w:rPr>
                <w:bCs/>
                <w:lang w:eastAsia="zh-CN"/>
              </w:rPr>
              <w:t>upport program</w:t>
            </w:r>
          </w:p>
        </w:tc>
        <w:tc>
          <w:tcPr>
            <w:tcW w:w="993" w:type="dxa"/>
            <w:tcBorders>
              <w:top w:val="nil"/>
              <w:left w:val="nil"/>
              <w:bottom w:val="nil"/>
              <w:right w:val="nil"/>
            </w:tcBorders>
            <w:shd w:val="clear" w:color="auto" w:fill="auto"/>
            <w:noWrap/>
            <w:vAlign w:val="bottom"/>
            <w:hideMark/>
          </w:tcPr>
          <w:p w14:paraId="387F629E"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09F706CB" w14:textId="77777777" w:rsidR="00A9774A" w:rsidRPr="007E4BEF" w:rsidRDefault="00A9774A" w:rsidP="002874AC">
            <w:pPr>
              <w:pStyle w:val="table2"/>
              <w:jc w:val="right"/>
              <w:rPr>
                <w:lang w:eastAsia="zh-CN"/>
              </w:rPr>
            </w:pPr>
            <w:r w:rsidRPr="007E4BEF">
              <w:rPr>
                <w:lang w:eastAsia="zh-CN"/>
              </w:rPr>
              <w:t>0.820</w:t>
            </w:r>
          </w:p>
        </w:tc>
        <w:tc>
          <w:tcPr>
            <w:tcW w:w="1435" w:type="dxa"/>
            <w:tcBorders>
              <w:top w:val="nil"/>
              <w:left w:val="nil"/>
              <w:bottom w:val="nil"/>
              <w:right w:val="nil"/>
            </w:tcBorders>
            <w:shd w:val="clear" w:color="auto" w:fill="auto"/>
            <w:noWrap/>
            <w:vAlign w:val="bottom"/>
            <w:hideMark/>
          </w:tcPr>
          <w:p w14:paraId="64CC407B" w14:textId="77777777" w:rsidR="00A9774A" w:rsidRPr="007E4BEF" w:rsidRDefault="00A9774A" w:rsidP="002874AC">
            <w:pPr>
              <w:pStyle w:val="table2"/>
              <w:jc w:val="right"/>
              <w:rPr>
                <w:lang w:eastAsia="zh-CN"/>
              </w:rPr>
            </w:pPr>
            <w:r w:rsidRPr="007E4BEF">
              <w:rPr>
                <w:lang w:eastAsia="zh-CN"/>
              </w:rPr>
              <w:t>0.385</w:t>
            </w:r>
          </w:p>
        </w:tc>
        <w:tc>
          <w:tcPr>
            <w:tcW w:w="960" w:type="dxa"/>
            <w:tcBorders>
              <w:top w:val="nil"/>
              <w:left w:val="nil"/>
              <w:bottom w:val="nil"/>
              <w:right w:val="nil"/>
            </w:tcBorders>
            <w:shd w:val="clear" w:color="auto" w:fill="auto"/>
            <w:noWrap/>
            <w:vAlign w:val="bottom"/>
            <w:hideMark/>
          </w:tcPr>
          <w:p w14:paraId="0AD2AB5E"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4F04F237" w14:textId="77777777" w:rsidR="00A9774A" w:rsidRPr="007E4BEF" w:rsidRDefault="00A9774A" w:rsidP="002874AC">
            <w:pPr>
              <w:pStyle w:val="table2"/>
              <w:jc w:val="right"/>
              <w:rPr>
                <w:lang w:eastAsia="zh-CN"/>
              </w:rPr>
            </w:pPr>
            <w:r w:rsidRPr="007E4BEF">
              <w:rPr>
                <w:lang w:eastAsia="zh-CN"/>
              </w:rPr>
              <w:t>1</w:t>
            </w:r>
          </w:p>
        </w:tc>
      </w:tr>
      <w:tr w:rsidR="00A9774A" w:rsidRPr="007E4BEF" w14:paraId="7E1F5F08" w14:textId="77777777" w:rsidTr="002874AC">
        <w:trPr>
          <w:trHeight w:val="300"/>
        </w:trPr>
        <w:tc>
          <w:tcPr>
            <w:tcW w:w="3417" w:type="dxa"/>
            <w:tcBorders>
              <w:top w:val="nil"/>
              <w:left w:val="nil"/>
              <w:bottom w:val="nil"/>
              <w:right w:val="nil"/>
            </w:tcBorders>
            <w:shd w:val="clear" w:color="auto" w:fill="auto"/>
            <w:noWrap/>
            <w:vAlign w:val="bottom"/>
          </w:tcPr>
          <w:p w14:paraId="047B38A2" w14:textId="112820C3" w:rsidR="00A9774A" w:rsidRPr="00374AB5" w:rsidRDefault="004678A8" w:rsidP="002874AC">
            <w:pPr>
              <w:spacing w:line="240" w:lineRule="auto"/>
              <w:ind w:firstLine="0"/>
              <w:jc w:val="left"/>
              <w:rPr>
                <w:bCs/>
                <w:color w:val="000000"/>
                <w:sz w:val="22"/>
                <w:szCs w:val="22"/>
                <w:lang w:eastAsia="zh-CN"/>
              </w:rPr>
            </w:pPr>
            <w:r>
              <w:rPr>
                <w:bCs/>
                <w:color w:val="000000"/>
                <w:sz w:val="22"/>
                <w:szCs w:val="22"/>
                <w:lang w:eastAsia="zh-CN"/>
              </w:rPr>
              <w:t>A</w:t>
            </w:r>
            <w:r w:rsidR="00A9774A">
              <w:rPr>
                <w:bCs/>
                <w:color w:val="000000"/>
                <w:sz w:val="22"/>
                <w:szCs w:val="22"/>
                <w:lang w:eastAsia="zh-CN"/>
              </w:rPr>
              <w:t>ge group</w:t>
            </w:r>
          </w:p>
        </w:tc>
        <w:tc>
          <w:tcPr>
            <w:tcW w:w="993" w:type="dxa"/>
            <w:tcBorders>
              <w:top w:val="nil"/>
              <w:left w:val="nil"/>
              <w:bottom w:val="nil"/>
              <w:right w:val="nil"/>
            </w:tcBorders>
            <w:shd w:val="clear" w:color="auto" w:fill="auto"/>
            <w:noWrap/>
            <w:vAlign w:val="bottom"/>
          </w:tcPr>
          <w:p w14:paraId="0638648A" w14:textId="77777777" w:rsidR="00A9774A" w:rsidRPr="007E4BEF" w:rsidRDefault="00A9774A" w:rsidP="002874AC">
            <w:pPr>
              <w:pStyle w:val="table2"/>
              <w:jc w:val="right"/>
              <w:rPr>
                <w:lang w:eastAsia="zh-CN"/>
              </w:rPr>
            </w:pPr>
          </w:p>
        </w:tc>
        <w:tc>
          <w:tcPr>
            <w:tcW w:w="1275" w:type="dxa"/>
            <w:tcBorders>
              <w:top w:val="nil"/>
              <w:left w:val="nil"/>
              <w:bottom w:val="nil"/>
              <w:right w:val="nil"/>
            </w:tcBorders>
            <w:shd w:val="clear" w:color="auto" w:fill="auto"/>
            <w:noWrap/>
            <w:vAlign w:val="bottom"/>
          </w:tcPr>
          <w:p w14:paraId="3C75B2C3" w14:textId="77777777" w:rsidR="00A9774A" w:rsidRPr="007E4BEF" w:rsidRDefault="00A9774A" w:rsidP="002874AC">
            <w:pPr>
              <w:pStyle w:val="table2"/>
              <w:jc w:val="right"/>
              <w:rPr>
                <w:lang w:eastAsia="zh-CN"/>
              </w:rPr>
            </w:pPr>
          </w:p>
        </w:tc>
        <w:tc>
          <w:tcPr>
            <w:tcW w:w="1435" w:type="dxa"/>
            <w:tcBorders>
              <w:top w:val="nil"/>
              <w:left w:val="nil"/>
              <w:bottom w:val="nil"/>
              <w:right w:val="nil"/>
            </w:tcBorders>
            <w:shd w:val="clear" w:color="auto" w:fill="auto"/>
            <w:noWrap/>
            <w:vAlign w:val="bottom"/>
          </w:tcPr>
          <w:p w14:paraId="0A57B843" w14:textId="77777777" w:rsidR="00A9774A" w:rsidRPr="007E4BEF" w:rsidRDefault="00A9774A" w:rsidP="002874AC">
            <w:pPr>
              <w:pStyle w:val="table2"/>
              <w:jc w:val="right"/>
              <w:rPr>
                <w:lang w:eastAsia="zh-CN"/>
              </w:rPr>
            </w:pPr>
          </w:p>
        </w:tc>
        <w:tc>
          <w:tcPr>
            <w:tcW w:w="960" w:type="dxa"/>
            <w:tcBorders>
              <w:top w:val="nil"/>
              <w:left w:val="nil"/>
              <w:bottom w:val="nil"/>
              <w:right w:val="nil"/>
            </w:tcBorders>
            <w:shd w:val="clear" w:color="auto" w:fill="auto"/>
            <w:noWrap/>
            <w:vAlign w:val="bottom"/>
          </w:tcPr>
          <w:p w14:paraId="62449883" w14:textId="77777777" w:rsidR="00A9774A" w:rsidRPr="007E4BEF" w:rsidRDefault="00A9774A" w:rsidP="002874AC">
            <w:pPr>
              <w:pStyle w:val="table2"/>
              <w:jc w:val="right"/>
              <w:rPr>
                <w:lang w:eastAsia="zh-CN"/>
              </w:rPr>
            </w:pPr>
          </w:p>
        </w:tc>
        <w:tc>
          <w:tcPr>
            <w:tcW w:w="960" w:type="dxa"/>
            <w:tcBorders>
              <w:top w:val="nil"/>
              <w:left w:val="nil"/>
              <w:bottom w:val="nil"/>
              <w:right w:val="nil"/>
            </w:tcBorders>
            <w:shd w:val="clear" w:color="auto" w:fill="auto"/>
            <w:noWrap/>
            <w:vAlign w:val="bottom"/>
          </w:tcPr>
          <w:p w14:paraId="7C9BBFF0" w14:textId="77777777" w:rsidR="00A9774A" w:rsidRPr="007E4BEF" w:rsidRDefault="00A9774A" w:rsidP="002874AC">
            <w:pPr>
              <w:pStyle w:val="table2"/>
              <w:jc w:val="right"/>
              <w:rPr>
                <w:lang w:eastAsia="zh-CN"/>
              </w:rPr>
            </w:pPr>
          </w:p>
        </w:tc>
      </w:tr>
      <w:tr w:rsidR="00A9774A" w:rsidRPr="007E4BEF" w14:paraId="06AE57E8" w14:textId="77777777" w:rsidTr="002874AC">
        <w:trPr>
          <w:trHeight w:val="300"/>
        </w:trPr>
        <w:tc>
          <w:tcPr>
            <w:tcW w:w="3417" w:type="dxa"/>
            <w:tcBorders>
              <w:top w:val="nil"/>
              <w:left w:val="nil"/>
              <w:bottom w:val="nil"/>
              <w:right w:val="nil"/>
            </w:tcBorders>
            <w:shd w:val="clear" w:color="auto" w:fill="auto"/>
            <w:noWrap/>
            <w:vAlign w:val="bottom"/>
          </w:tcPr>
          <w:p w14:paraId="148DB80F" w14:textId="77777777" w:rsidR="00A9774A" w:rsidRPr="00374AB5" w:rsidRDefault="00A9774A" w:rsidP="002874AC">
            <w:pPr>
              <w:spacing w:line="240" w:lineRule="auto"/>
              <w:ind w:firstLine="0"/>
              <w:jc w:val="left"/>
              <w:rPr>
                <w:bCs/>
                <w:i/>
                <w:color w:val="000000"/>
                <w:sz w:val="22"/>
                <w:szCs w:val="22"/>
                <w:lang w:eastAsia="zh-CN"/>
              </w:rPr>
            </w:pPr>
            <w:r>
              <w:rPr>
                <w:bCs/>
                <w:i/>
                <w:color w:val="000000"/>
                <w:sz w:val="22"/>
                <w:szCs w:val="22"/>
                <w:lang w:eastAsia="zh-CN"/>
              </w:rPr>
              <w:t xml:space="preserve">   15-30 yrs</w:t>
            </w:r>
          </w:p>
        </w:tc>
        <w:tc>
          <w:tcPr>
            <w:tcW w:w="993" w:type="dxa"/>
            <w:tcBorders>
              <w:top w:val="nil"/>
              <w:left w:val="nil"/>
              <w:bottom w:val="nil"/>
              <w:right w:val="nil"/>
            </w:tcBorders>
            <w:shd w:val="clear" w:color="auto" w:fill="auto"/>
            <w:noWrap/>
            <w:vAlign w:val="bottom"/>
          </w:tcPr>
          <w:p w14:paraId="1BDADE8F"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3698D5E3" w14:textId="77777777" w:rsidR="00A9774A" w:rsidRPr="007E4BEF" w:rsidRDefault="00A9774A" w:rsidP="002874AC">
            <w:pPr>
              <w:pStyle w:val="table2"/>
              <w:jc w:val="right"/>
              <w:rPr>
                <w:lang w:eastAsia="zh-CN"/>
              </w:rPr>
            </w:pPr>
            <w:r>
              <w:rPr>
                <w:lang w:eastAsia="zh-CN"/>
              </w:rPr>
              <w:t>0.194</w:t>
            </w:r>
          </w:p>
        </w:tc>
        <w:tc>
          <w:tcPr>
            <w:tcW w:w="1435" w:type="dxa"/>
            <w:tcBorders>
              <w:top w:val="nil"/>
              <w:left w:val="nil"/>
              <w:bottom w:val="nil"/>
              <w:right w:val="nil"/>
            </w:tcBorders>
            <w:shd w:val="clear" w:color="auto" w:fill="auto"/>
            <w:noWrap/>
            <w:vAlign w:val="bottom"/>
          </w:tcPr>
          <w:p w14:paraId="20523950" w14:textId="77777777" w:rsidR="00A9774A" w:rsidRPr="007E4BEF" w:rsidRDefault="00A9774A" w:rsidP="002874AC">
            <w:pPr>
              <w:pStyle w:val="table2"/>
              <w:jc w:val="right"/>
              <w:rPr>
                <w:lang w:eastAsia="zh-CN"/>
              </w:rPr>
            </w:pPr>
            <w:r>
              <w:rPr>
                <w:lang w:eastAsia="zh-CN"/>
              </w:rPr>
              <w:t>0.396</w:t>
            </w:r>
          </w:p>
        </w:tc>
        <w:tc>
          <w:tcPr>
            <w:tcW w:w="960" w:type="dxa"/>
            <w:tcBorders>
              <w:top w:val="nil"/>
              <w:left w:val="nil"/>
              <w:bottom w:val="nil"/>
              <w:right w:val="nil"/>
            </w:tcBorders>
            <w:shd w:val="clear" w:color="auto" w:fill="auto"/>
            <w:noWrap/>
            <w:vAlign w:val="bottom"/>
          </w:tcPr>
          <w:p w14:paraId="0D6D6F5B"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3A55BFDD" w14:textId="77777777" w:rsidR="00A9774A" w:rsidRPr="007E4BEF" w:rsidRDefault="00A9774A" w:rsidP="002874AC">
            <w:pPr>
              <w:pStyle w:val="table2"/>
              <w:jc w:val="right"/>
              <w:rPr>
                <w:lang w:eastAsia="zh-CN"/>
              </w:rPr>
            </w:pPr>
            <w:r w:rsidRPr="007E4BEF">
              <w:rPr>
                <w:lang w:eastAsia="zh-CN"/>
              </w:rPr>
              <w:t>1</w:t>
            </w:r>
          </w:p>
        </w:tc>
      </w:tr>
      <w:tr w:rsidR="00A9774A" w:rsidRPr="007E4BEF" w14:paraId="48BA7B56" w14:textId="77777777" w:rsidTr="002874AC">
        <w:trPr>
          <w:trHeight w:val="300"/>
        </w:trPr>
        <w:tc>
          <w:tcPr>
            <w:tcW w:w="3417" w:type="dxa"/>
            <w:tcBorders>
              <w:top w:val="nil"/>
              <w:left w:val="nil"/>
              <w:bottom w:val="nil"/>
              <w:right w:val="nil"/>
            </w:tcBorders>
            <w:shd w:val="clear" w:color="auto" w:fill="auto"/>
            <w:noWrap/>
            <w:vAlign w:val="bottom"/>
          </w:tcPr>
          <w:p w14:paraId="696F11DB" w14:textId="77777777" w:rsidR="00A9774A" w:rsidRPr="00374AB5" w:rsidRDefault="00A9774A" w:rsidP="002874AC">
            <w:pPr>
              <w:spacing w:line="240" w:lineRule="auto"/>
              <w:ind w:firstLine="0"/>
              <w:jc w:val="left"/>
              <w:rPr>
                <w:bCs/>
                <w:i/>
                <w:color w:val="000000"/>
                <w:sz w:val="22"/>
                <w:szCs w:val="22"/>
                <w:lang w:eastAsia="zh-CN"/>
              </w:rPr>
            </w:pPr>
            <w:r w:rsidRPr="00374AB5">
              <w:rPr>
                <w:bCs/>
                <w:i/>
                <w:color w:val="000000"/>
                <w:sz w:val="22"/>
                <w:szCs w:val="22"/>
                <w:lang w:eastAsia="zh-CN"/>
              </w:rPr>
              <w:t xml:space="preserve">   31-45</w:t>
            </w:r>
            <w:r>
              <w:rPr>
                <w:bCs/>
                <w:i/>
                <w:color w:val="000000"/>
                <w:sz w:val="22"/>
                <w:szCs w:val="22"/>
                <w:lang w:eastAsia="zh-CN"/>
              </w:rPr>
              <w:t xml:space="preserve"> yrs</w:t>
            </w:r>
          </w:p>
        </w:tc>
        <w:tc>
          <w:tcPr>
            <w:tcW w:w="993" w:type="dxa"/>
            <w:tcBorders>
              <w:top w:val="nil"/>
              <w:left w:val="nil"/>
              <w:bottom w:val="nil"/>
              <w:right w:val="nil"/>
            </w:tcBorders>
            <w:shd w:val="clear" w:color="auto" w:fill="auto"/>
            <w:noWrap/>
            <w:vAlign w:val="bottom"/>
          </w:tcPr>
          <w:p w14:paraId="650CEFB3"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3C548A82" w14:textId="77777777" w:rsidR="00A9774A" w:rsidRDefault="00A9774A" w:rsidP="002874AC">
            <w:pPr>
              <w:pStyle w:val="table2"/>
              <w:jc w:val="right"/>
            </w:pPr>
            <w:r>
              <w:t>0.395</w:t>
            </w:r>
          </w:p>
        </w:tc>
        <w:tc>
          <w:tcPr>
            <w:tcW w:w="1435" w:type="dxa"/>
            <w:tcBorders>
              <w:top w:val="nil"/>
              <w:left w:val="nil"/>
              <w:bottom w:val="nil"/>
              <w:right w:val="nil"/>
            </w:tcBorders>
            <w:shd w:val="clear" w:color="auto" w:fill="auto"/>
            <w:noWrap/>
            <w:vAlign w:val="bottom"/>
          </w:tcPr>
          <w:p w14:paraId="125266F6" w14:textId="77777777" w:rsidR="00A9774A" w:rsidRDefault="00A9774A" w:rsidP="002874AC">
            <w:pPr>
              <w:pStyle w:val="table2"/>
              <w:jc w:val="right"/>
            </w:pPr>
            <w:r>
              <w:t>0.489</w:t>
            </w:r>
          </w:p>
        </w:tc>
        <w:tc>
          <w:tcPr>
            <w:tcW w:w="960" w:type="dxa"/>
            <w:tcBorders>
              <w:top w:val="nil"/>
              <w:left w:val="nil"/>
              <w:bottom w:val="nil"/>
              <w:right w:val="nil"/>
            </w:tcBorders>
            <w:shd w:val="clear" w:color="auto" w:fill="auto"/>
            <w:noWrap/>
            <w:vAlign w:val="bottom"/>
          </w:tcPr>
          <w:p w14:paraId="7E4494A6"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2807A7BB" w14:textId="77777777" w:rsidR="00A9774A" w:rsidRPr="007E4BEF" w:rsidRDefault="00A9774A" w:rsidP="002874AC">
            <w:pPr>
              <w:pStyle w:val="table2"/>
              <w:jc w:val="right"/>
              <w:rPr>
                <w:lang w:eastAsia="zh-CN"/>
              </w:rPr>
            </w:pPr>
            <w:r w:rsidRPr="007E4BEF">
              <w:rPr>
                <w:lang w:eastAsia="zh-CN"/>
              </w:rPr>
              <w:t>1</w:t>
            </w:r>
          </w:p>
        </w:tc>
      </w:tr>
      <w:tr w:rsidR="00A9774A" w:rsidRPr="007E4BEF" w14:paraId="167F63EC" w14:textId="77777777" w:rsidTr="002874AC">
        <w:trPr>
          <w:trHeight w:val="300"/>
        </w:trPr>
        <w:tc>
          <w:tcPr>
            <w:tcW w:w="3417" w:type="dxa"/>
            <w:tcBorders>
              <w:top w:val="nil"/>
              <w:left w:val="nil"/>
              <w:bottom w:val="nil"/>
              <w:right w:val="nil"/>
            </w:tcBorders>
            <w:shd w:val="clear" w:color="auto" w:fill="auto"/>
            <w:noWrap/>
            <w:vAlign w:val="bottom"/>
          </w:tcPr>
          <w:p w14:paraId="351A7A3E" w14:textId="77777777" w:rsidR="00A9774A" w:rsidRPr="009269E8" w:rsidRDefault="00A9774A" w:rsidP="002874AC">
            <w:pPr>
              <w:spacing w:line="240" w:lineRule="auto"/>
              <w:ind w:firstLine="0"/>
              <w:jc w:val="left"/>
              <w:rPr>
                <w:bCs/>
                <w:i/>
                <w:color w:val="000000"/>
                <w:sz w:val="22"/>
                <w:szCs w:val="22"/>
                <w:lang w:eastAsia="zh-CN"/>
              </w:rPr>
            </w:pPr>
            <w:r>
              <w:rPr>
                <w:bCs/>
                <w:i/>
                <w:color w:val="000000"/>
                <w:sz w:val="22"/>
                <w:szCs w:val="22"/>
                <w:lang w:eastAsia="zh-CN"/>
              </w:rPr>
              <w:t xml:space="preserve">   41-60 yrs</w:t>
            </w:r>
          </w:p>
        </w:tc>
        <w:tc>
          <w:tcPr>
            <w:tcW w:w="993" w:type="dxa"/>
            <w:tcBorders>
              <w:top w:val="nil"/>
              <w:left w:val="nil"/>
              <w:bottom w:val="nil"/>
              <w:right w:val="nil"/>
            </w:tcBorders>
            <w:shd w:val="clear" w:color="auto" w:fill="auto"/>
            <w:noWrap/>
            <w:vAlign w:val="bottom"/>
          </w:tcPr>
          <w:p w14:paraId="53D07ADB"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000617B4" w14:textId="77777777" w:rsidR="00A9774A" w:rsidRDefault="00A9774A" w:rsidP="002874AC">
            <w:pPr>
              <w:pStyle w:val="table2"/>
              <w:jc w:val="right"/>
            </w:pPr>
            <w:r>
              <w:t>0.334</w:t>
            </w:r>
          </w:p>
        </w:tc>
        <w:tc>
          <w:tcPr>
            <w:tcW w:w="1435" w:type="dxa"/>
            <w:tcBorders>
              <w:top w:val="nil"/>
              <w:left w:val="nil"/>
              <w:bottom w:val="nil"/>
              <w:right w:val="nil"/>
            </w:tcBorders>
            <w:shd w:val="clear" w:color="auto" w:fill="auto"/>
            <w:noWrap/>
            <w:vAlign w:val="bottom"/>
          </w:tcPr>
          <w:p w14:paraId="04C7F656" w14:textId="77777777" w:rsidR="00A9774A" w:rsidRDefault="00A9774A" w:rsidP="002874AC">
            <w:pPr>
              <w:pStyle w:val="table2"/>
              <w:jc w:val="right"/>
            </w:pPr>
            <w:r>
              <w:t>0.472</w:t>
            </w:r>
          </w:p>
        </w:tc>
        <w:tc>
          <w:tcPr>
            <w:tcW w:w="960" w:type="dxa"/>
            <w:tcBorders>
              <w:top w:val="nil"/>
              <w:left w:val="nil"/>
              <w:bottom w:val="nil"/>
              <w:right w:val="nil"/>
            </w:tcBorders>
            <w:shd w:val="clear" w:color="auto" w:fill="auto"/>
            <w:noWrap/>
            <w:vAlign w:val="bottom"/>
          </w:tcPr>
          <w:p w14:paraId="0641FF96"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2CF6E36C" w14:textId="77777777" w:rsidR="00A9774A" w:rsidRPr="007E4BEF" w:rsidRDefault="00A9774A" w:rsidP="002874AC">
            <w:pPr>
              <w:pStyle w:val="table2"/>
              <w:jc w:val="right"/>
              <w:rPr>
                <w:lang w:eastAsia="zh-CN"/>
              </w:rPr>
            </w:pPr>
            <w:r w:rsidRPr="007E4BEF">
              <w:rPr>
                <w:lang w:eastAsia="zh-CN"/>
              </w:rPr>
              <w:t>1</w:t>
            </w:r>
          </w:p>
        </w:tc>
      </w:tr>
      <w:tr w:rsidR="00A9774A" w:rsidRPr="007E4BEF" w14:paraId="2911E12B" w14:textId="77777777" w:rsidTr="002874AC">
        <w:trPr>
          <w:trHeight w:val="300"/>
        </w:trPr>
        <w:tc>
          <w:tcPr>
            <w:tcW w:w="3417" w:type="dxa"/>
            <w:tcBorders>
              <w:top w:val="nil"/>
              <w:left w:val="nil"/>
              <w:bottom w:val="nil"/>
              <w:right w:val="nil"/>
            </w:tcBorders>
            <w:shd w:val="clear" w:color="auto" w:fill="auto"/>
            <w:noWrap/>
            <w:vAlign w:val="bottom"/>
          </w:tcPr>
          <w:p w14:paraId="30291330" w14:textId="77777777" w:rsidR="00A9774A" w:rsidRPr="009269E8" w:rsidRDefault="00A9774A" w:rsidP="002874AC">
            <w:pPr>
              <w:spacing w:line="240" w:lineRule="auto"/>
              <w:ind w:firstLine="0"/>
              <w:jc w:val="left"/>
              <w:rPr>
                <w:bCs/>
                <w:i/>
                <w:color w:val="000000"/>
                <w:sz w:val="22"/>
                <w:szCs w:val="22"/>
                <w:lang w:eastAsia="zh-CN"/>
              </w:rPr>
            </w:pPr>
            <w:r>
              <w:rPr>
                <w:bCs/>
                <w:i/>
                <w:color w:val="000000"/>
                <w:sz w:val="22"/>
                <w:szCs w:val="22"/>
                <w:lang w:eastAsia="zh-CN"/>
              </w:rPr>
              <w:t xml:space="preserve">   &gt;60 yrs</w:t>
            </w:r>
          </w:p>
        </w:tc>
        <w:tc>
          <w:tcPr>
            <w:tcW w:w="993" w:type="dxa"/>
            <w:tcBorders>
              <w:top w:val="nil"/>
              <w:left w:val="nil"/>
              <w:bottom w:val="nil"/>
              <w:right w:val="nil"/>
            </w:tcBorders>
            <w:shd w:val="clear" w:color="auto" w:fill="auto"/>
            <w:noWrap/>
            <w:vAlign w:val="bottom"/>
          </w:tcPr>
          <w:p w14:paraId="32D1EE58"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3AB17641" w14:textId="77777777" w:rsidR="00A9774A" w:rsidRDefault="00A9774A" w:rsidP="002874AC">
            <w:pPr>
              <w:pStyle w:val="table2"/>
              <w:jc w:val="right"/>
            </w:pPr>
            <w:r>
              <w:t>0.077</w:t>
            </w:r>
          </w:p>
        </w:tc>
        <w:tc>
          <w:tcPr>
            <w:tcW w:w="1435" w:type="dxa"/>
            <w:tcBorders>
              <w:top w:val="nil"/>
              <w:left w:val="nil"/>
              <w:bottom w:val="nil"/>
              <w:right w:val="nil"/>
            </w:tcBorders>
            <w:shd w:val="clear" w:color="auto" w:fill="auto"/>
            <w:noWrap/>
            <w:vAlign w:val="bottom"/>
          </w:tcPr>
          <w:p w14:paraId="45127A5C" w14:textId="77777777" w:rsidR="00A9774A" w:rsidRDefault="00A9774A" w:rsidP="002874AC">
            <w:pPr>
              <w:pStyle w:val="table2"/>
              <w:jc w:val="right"/>
            </w:pPr>
            <w:r>
              <w:t>0.267</w:t>
            </w:r>
          </w:p>
        </w:tc>
        <w:tc>
          <w:tcPr>
            <w:tcW w:w="960" w:type="dxa"/>
            <w:tcBorders>
              <w:top w:val="nil"/>
              <w:left w:val="nil"/>
              <w:bottom w:val="nil"/>
              <w:right w:val="nil"/>
            </w:tcBorders>
            <w:shd w:val="clear" w:color="auto" w:fill="auto"/>
            <w:noWrap/>
            <w:vAlign w:val="bottom"/>
          </w:tcPr>
          <w:p w14:paraId="70ECFC60"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4E9AF0BA" w14:textId="77777777" w:rsidR="00A9774A" w:rsidRPr="007E4BEF" w:rsidRDefault="00A9774A" w:rsidP="002874AC">
            <w:pPr>
              <w:pStyle w:val="table2"/>
              <w:jc w:val="right"/>
              <w:rPr>
                <w:lang w:eastAsia="zh-CN"/>
              </w:rPr>
            </w:pPr>
            <w:r w:rsidRPr="007E4BEF">
              <w:rPr>
                <w:lang w:eastAsia="zh-CN"/>
              </w:rPr>
              <w:t>1</w:t>
            </w:r>
          </w:p>
        </w:tc>
      </w:tr>
      <w:tr w:rsidR="00A9774A" w:rsidRPr="007E4BEF" w14:paraId="04336C7B" w14:textId="77777777" w:rsidTr="002874AC">
        <w:trPr>
          <w:trHeight w:val="300"/>
        </w:trPr>
        <w:tc>
          <w:tcPr>
            <w:tcW w:w="3417" w:type="dxa"/>
            <w:tcBorders>
              <w:top w:val="nil"/>
              <w:left w:val="nil"/>
              <w:bottom w:val="nil"/>
              <w:right w:val="nil"/>
            </w:tcBorders>
            <w:shd w:val="clear" w:color="auto" w:fill="auto"/>
            <w:noWrap/>
            <w:vAlign w:val="bottom"/>
            <w:hideMark/>
          </w:tcPr>
          <w:p w14:paraId="2DF8010B" w14:textId="06046527" w:rsidR="00A9774A" w:rsidRPr="0083601F" w:rsidRDefault="004678A8" w:rsidP="002874AC">
            <w:pPr>
              <w:pStyle w:val="table2"/>
              <w:rPr>
                <w:bCs/>
                <w:lang w:eastAsia="zh-CN"/>
              </w:rPr>
            </w:pPr>
            <w:r>
              <w:rPr>
                <w:bCs/>
                <w:lang w:eastAsia="zh-CN"/>
              </w:rPr>
              <w:t>E</w:t>
            </w:r>
            <w:r w:rsidR="00A9774A" w:rsidRPr="009269E8">
              <w:rPr>
                <w:bCs/>
                <w:lang w:eastAsia="zh-CN"/>
              </w:rPr>
              <w:t>ducation level</w:t>
            </w:r>
          </w:p>
        </w:tc>
        <w:tc>
          <w:tcPr>
            <w:tcW w:w="993" w:type="dxa"/>
            <w:tcBorders>
              <w:top w:val="nil"/>
              <w:left w:val="nil"/>
              <w:bottom w:val="nil"/>
              <w:right w:val="nil"/>
            </w:tcBorders>
            <w:shd w:val="clear" w:color="auto" w:fill="auto"/>
            <w:noWrap/>
            <w:vAlign w:val="bottom"/>
            <w:hideMark/>
          </w:tcPr>
          <w:p w14:paraId="1E4CD558" w14:textId="77777777" w:rsidR="00A9774A" w:rsidRPr="007E4BEF" w:rsidRDefault="00A9774A" w:rsidP="002874AC">
            <w:pPr>
              <w:pStyle w:val="table2"/>
              <w:jc w:val="right"/>
              <w:rPr>
                <w:lang w:eastAsia="zh-CN"/>
              </w:rPr>
            </w:pPr>
          </w:p>
        </w:tc>
        <w:tc>
          <w:tcPr>
            <w:tcW w:w="1275" w:type="dxa"/>
            <w:tcBorders>
              <w:top w:val="nil"/>
              <w:left w:val="nil"/>
              <w:bottom w:val="nil"/>
              <w:right w:val="nil"/>
            </w:tcBorders>
            <w:shd w:val="clear" w:color="auto" w:fill="auto"/>
            <w:noWrap/>
            <w:vAlign w:val="bottom"/>
            <w:hideMark/>
          </w:tcPr>
          <w:p w14:paraId="04A15C5A" w14:textId="77777777" w:rsidR="00A9774A" w:rsidRPr="007E4BEF" w:rsidRDefault="00A9774A" w:rsidP="002874AC">
            <w:pPr>
              <w:pStyle w:val="table2"/>
              <w:jc w:val="right"/>
              <w:rPr>
                <w:lang w:eastAsia="zh-CN"/>
              </w:rPr>
            </w:pPr>
          </w:p>
        </w:tc>
        <w:tc>
          <w:tcPr>
            <w:tcW w:w="1435" w:type="dxa"/>
            <w:tcBorders>
              <w:top w:val="nil"/>
              <w:left w:val="nil"/>
              <w:bottom w:val="nil"/>
              <w:right w:val="nil"/>
            </w:tcBorders>
            <w:shd w:val="clear" w:color="auto" w:fill="auto"/>
            <w:noWrap/>
            <w:vAlign w:val="bottom"/>
            <w:hideMark/>
          </w:tcPr>
          <w:p w14:paraId="3D6091D5" w14:textId="77777777" w:rsidR="00A9774A" w:rsidRPr="007E4BEF" w:rsidRDefault="00A9774A" w:rsidP="002874AC">
            <w:pPr>
              <w:pStyle w:val="table2"/>
              <w:jc w:val="right"/>
              <w:rPr>
                <w:lang w:eastAsia="zh-CN"/>
              </w:rPr>
            </w:pPr>
          </w:p>
        </w:tc>
        <w:tc>
          <w:tcPr>
            <w:tcW w:w="960" w:type="dxa"/>
            <w:tcBorders>
              <w:top w:val="nil"/>
              <w:left w:val="nil"/>
              <w:bottom w:val="nil"/>
              <w:right w:val="nil"/>
            </w:tcBorders>
            <w:shd w:val="clear" w:color="auto" w:fill="auto"/>
            <w:noWrap/>
            <w:vAlign w:val="bottom"/>
            <w:hideMark/>
          </w:tcPr>
          <w:p w14:paraId="3CC76781" w14:textId="77777777" w:rsidR="00A9774A" w:rsidRPr="007E4BEF" w:rsidRDefault="00A9774A" w:rsidP="002874AC">
            <w:pPr>
              <w:pStyle w:val="table2"/>
              <w:jc w:val="right"/>
              <w:rPr>
                <w:lang w:eastAsia="zh-CN"/>
              </w:rPr>
            </w:pPr>
          </w:p>
        </w:tc>
        <w:tc>
          <w:tcPr>
            <w:tcW w:w="960" w:type="dxa"/>
            <w:tcBorders>
              <w:top w:val="nil"/>
              <w:left w:val="nil"/>
              <w:bottom w:val="nil"/>
              <w:right w:val="nil"/>
            </w:tcBorders>
            <w:shd w:val="clear" w:color="auto" w:fill="auto"/>
            <w:noWrap/>
            <w:vAlign w:val="bottom"/>
            <w:hideMark/>
          </w:tcPr>
          <w:p w14:paraId="48DA9282" w14:textId="77777777" w:rsidR="00A9774A" w:rsidRPr="007E4BEF" w:rsidRDefault="00A9774A" w:rsidP="002874AC">
            <w:pPr>
              <w:pStyle w:val="table2"/>
              <w:jc w:val="right"/>
              <w:rPr>
                <w:lang w:eastAsia="zh-CN"/>
              </w:rPr>
            </w:pPr>
          </w:p>
        </w:tc>
      </w:tr>
      <w:tr w:rsidR="00A9774A" w:rsidRPr="007E4BEF" w14:paraId="50B1EA89" w14:textId="77777777" w:rsidTr="002874AC">
        <w:trPr>
          <w:trHeight w:val="300"/>
        </w:trPr>
        <w:tc>
          <w:tcPr>
            <w:tcW w:w="3417" w:type="dxa"/>
            <w:tcBorders>
              <w:top w:val="nil"/>
              <w:left w:val="nil"/>
              <w:bottom w:val="nil"/>
              <w:right w:val="nil"/>
            </w:tcBorders>
            <w:shd w:val="clear" w:color="auto" w:fill="auto"/>
            <w:noWrap/>
            <w:vAlign w:val="bottom"/>
            <w:hideMark/>
          </w:tcPr>
          <w:p w14:paraId="43D569B3" w14:textId="77777777" w:rsidR="00A9774A" w:rsidRPr="0083601F" w:rsidRDefault="00A9774A" w:rsidP="002874AC">
            <w:pPr>
              <w:pStyle w:val="table2"/>
              <w:rPr>
                <w:i/>
                <w:lang w:eastAsia="zh-CN"/>
              </w:rPr>
            </w:pPr>
            <w:r w:rsidRPr="009269E8">
              <w:rPr>
                <w:i/>
                <w:lang w:eastAsia="zh-CN"/>
              </w:rPr>
              <w:t xml:space="preserve">   no education</w:t>
            </w:r>
          </w:p>
        </w:tc>
        <w:tc>
          <w:tcPr>
            <w:tcW w:w="993" w:type="dxa"/>
            <w:tcBorders>
              <w:top w:val="nil"/>
              <w:left w:val="nil"/>
              <w:bottom w:val="nil"/>
              <w:right w:val="nil"/>
            </w:tcBorders>
            <w:shd w:val="clear" w:color="auto" w:fill="auto"/>
            <w:noWrap/>
            <w:vAlign w:val="bottom"/>
            <w:hideMark/>
          </w:tcPr>
          <w:p w14:paraId="6D44C8A6"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088</w:t>
            </w:r>
          </w:p>
        </w:tc>
        <w:tc>
          <w:tcPr>
            <w:tcW w:w="1275" w:type="dxa"/>
            <w:tcBorders>
              <w:top w:val="nil"/>
              <w:left w:val="nil"/>
              <w:bottom w:val="nil"/>
              <w:right w:val="nil"/>
            </w:tcBorders>
            <w:shd w:val="clear" w:color="auto" w:fill="auto"/>
            <w:noWrap/>
            <w:vAlign w:val="bottom"/>
            <w:hideMark/>
          </w:tcPr>
          <w:p w14:paraId="02D2733B" w14:textId="77777777" w:rsidR="00A9774A" w:rsidRPr="007E4BEF" w:rsidRDefault="00A9774A" w:rsidP="002874AC">
            <w:pPr>
              <w:pStyle w:val="table2"/>
              <w:jc w:val="right"/>
              <w:rPr>
                <w:lang w:eastAsia="zh-CN"/>
              </w:rPr>
            </w:pPr>
            <w:r w:rsidRPr="007E4BEF">
              <w:rPr>
                <w:lang w:eastAsia="zh-CN"/>
              </w:rPr>
              <w:t>0.448</w:t>
            </w:r>
          </w:p>
        </w:tc>
        <w:tc>
          <w:tcPr>
            <w:tcW w:w="1435" w:type="dxa"/>
            <w:tcBorders>
              <w:top w:val="nil"/>
              <w:left w:val="nil"/>
              <w:bottom w:val="nil"/>
              <w:right w:val="nil"/>
            </w:tcBorders>
            <w:shd w:val="clear" w:color="auto" w:fill="auto"/>
            <w:noWrap/>
            <w:vAlign w:val="bottom"/>
            <w:hideMark/>
          </w:tcPr>
          <w:p w14:paraId="5E9B59B3" w14:textId="77777777" w:rsidR="00A9774A" w:rsidRPr="007E4BEF" w:rsidRDefault="00A9774A" w:rsidP="002874AC">
            <w:pPr>
              <w:pStyle w:val="table2"/>
              <w:jc w:val="right"/>
              <w:rPr>
                <w:lang w:eastAsia="zh-CN"/>
              </w:rPr>
            </w:pPr>
            <w:r w:rsidRPr="007E4BEF">
              <w:rPr>
                <w:lang w:eastAsia="zh-CN"/>
              </w:rPr>
              <w:t>0.497</w:t>
            </w:r>
          </w:p>
        </w:tc>
        <w:tc>
          <w:tcPr>
            <w:tcW w:w="960" w:type="dxa"/>
            <w:tcBorders>
              <w:top w:val="nil"/>
              <w:left w:val="nil"/>
              <w:bottom w:val="nil"/>
              <w:right w:val="nil"/>
            </w:tcBorders>
            <w:shd w:val="clear" w:color="auto" w:fill="auto"/>
            <w:noWrap/>
            <w:vAlign w:val="bottom"/>
            <w:hideMark/>
          </w:tcPr>
          <w:p w14:paraId="08CD1BDF"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3FB2FD73" w14:textId="77777777" w:rsidR="00A9774A" w:rsidRPr="007E4BEF" w:rsidRDefault="00A9774A" w:rsidP="002874AC">
            <w:pPr>
              <w:pStyle w:val="table2"/>
              <w:jc w:val="right"/>
              <w:rPr>
                <w:lang w:eastAsia="zh-CN"/>
              </w:rPr>
            </w:pPr>
            <w:r w:rsidRPr="007E4BEF">
              <w:rPr>
                <w:lang w:eastAsia="zh-CN"/>
              </w:rPr>
              <w:t>1</w:t>
            </w:r>
          </w:p>
        </w:tc>
      </w:tr>
      <w:tr w:rsidR="00A9774A" w:rsidRPr="007E4BEF" w14:paraId="6EB3CAF9" w14:textId="77777777" w:rsidTr="002874AC">
        <w:trPr>
          <w:trHeight w:val="300"/>
        </w:trPr>
        <w:tc>
          <w:tcPr>
            <w:tcW w:w="3417" w:type="dxa"/>
            <w:tcBorders>
              <w:top w:val="nil"/>
              <w:left w:val="nil"/>
              <w:bottom w:val="nil"/>
              <w:right w:val="nil"/>
            </w:tcBorders>
            <w:shd w:val="clear" w:color="auto" w:fill="auto"/>
            <w:noWrap/>
            <w:vAlign w:val="bottom"/>
            <w:hideMark/>
          </w:tcPr>
          <w:p w14:paraId="547F67BB" w14:textId="77777777" w:rsidR="00A9774A" w:rsidRPr="0083601F" w:rsidRDefault="00A9774A" w:rsidP="002874AC">
            <w:pPr>
              <w:pStyle w:val="table2"/>
              <w:rPr>
                <w:i/>
                <w:lang w:val="en-US" w:eastAsia="zh-CN"/>
              </w:rPr>
            </w:pPr>
            <w:r w:rsidRPr="009269E8">
              <w:rPr>
                <w:i/>
                <w:lang w:val="en-US" w:eastAsia="zh-CN"/>
              </w:rPr>
              <w:t xml:space="preserve">   primary education (some or completed)</w:t>
            </w:r>
          </w:p>
        </w:tc>
        <w:tc>
          <w:tcPr>
            <w:tcW w:w="993" w:type="dxa"/>
            <w:tcBorders>
              <w:top w:val="nil"/>
              <w:left w:val="nil"/>
              <w:bottom w:val="nil"/>
              <w:right w:val="nil"/>
            </w:tcBorders>
            <w:shd w:val="clear" w:color="auto" w:fill="auto"/>
            <w:noWrap/>
            <w:vAlign w:val="bottom"/>
            <w:hideMark/>
          </w:tcPr>
          <w:p w14:paraId="36BB423B"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088</w:t>
            </w:r>
          </w:p>
        </w:tc>
        <w:tc>
          <w:tcPr>
            <w:tcW w:w="1275" w:type="dxa"/>
            <w:tcBorders>
              <w:top w:val="nil"/>
              <w:left w:val="nil"/>
              <w:bottom w:val="nil"/>
              <w:right w:val="nil"/>
            </w:tcBorders>
            <w:shd w:val="clear" w:color="auto" w:fill="auto"/>
            <w:noWrap/>
            <w:vAlign w:val="bottom"/>
            <w:hideMark/>
          </w:tcPr>
          <w:p w14:paraId="48E8AE58" w14:textId="77777777" w:rsidR="00A9774A" w:rsidRPr="007E4BEF" w:rsidRDefault="00A9774A" w:rsidP="002874AC">
            <w:pPr>
              <w:pStyle w:val="table2"/>
              <w:jc w:val="right"/>
              <w:rPr>
                <w:lang w:eastAsia="zh-CN"/>
              </w:rPr>
            </w:pPr>
            <w:r w:rsidRPr="007E4BEF">
              <w:rPr>
                <w:lang w:eastAsia="zh-CN"/>
              </w:rPr>
              <w:t>0.349</w:t>
            </w:r>
          </w:p>
        </w:tc>
        <w:tc>
          <w:tcPr>
            <w:tcW w:w="1435" w:type="dxa"/>
            <w:tcBorders>
              <w:top w:val="nil"/>
              <w:left w:val="nil"/>
              <w:bottom w:val="nil"/>
              <w:right w:val="nil"/>
            </w:tcBorders>
            <w:shd w:val="clear" w:color="auto" w:fill="auto"/>
            <w:noWrap/>
            <w:vAlign w:val="bottom"/>
            <w:hideMark/>
          </w:tcPr>
          <w:p w14:paraId="217548CD" w14:textId="77777777" w:rsidR="00A9774A" w:rsidRPr="007E4BEF" w:rsidRDefault="00A9774A" w:rsidP="002874AC">
            <w:pPr>
              <w:pStyle w:val="table2"/>
              <w:jc w:val="right"/>
              <w:rPr>
                <w:lang w:eastAsia="zh-CN"/>
              </w:rPr>
            </w:pPr>
            <w:r w:rsidRPr="007E4BEF">
              <w:rPr>
                <w:lang w:eastAsia="zh-CN"/>
              </w:rPr>
              <w:t>0.477</w:t>
            </w:r>
          </w:p>
        </w:tc>
        <w:tc>
          <w:tcPr>
            <w:tcW w:w="960" w:type="dxa"/>
            <w:tcBorders>
              <w:top w:val="nil"/>
              <w:left w:val="nil"/>
              <w:bottom w:val="nil"/>
              <w:right w:val="nil"/>
            </w:tcBorders>
            <w:shd w:val="clear" w:color="auto" w:fill="auto"/>
            <w:noWrap/>
            <w:vAlign w:val="bottom"/>
            <w:hideMark/>
          </w:tcPr>
          <w:p w14:paraId="2B76AA5B"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02721C49" w14:textId="77777777" w:rsidR="00A9774A" w:rsidRPr="007E4BEF" w:rsidRDefault="00A9774A" w:rsidP="002874AC">
            <w:pPr>
              <w:pStyle w:val="table2"/>
              <w:jc w:val="right"/>
              <w:rPr>
                <w:lang w:eastAsia="zh-CN"/>
              </w:rPr>
            </w:pPr>
            <w:r w:rsidRPr="007E4BEF">
              <w:rPr>
                <w:lang w:eastAsia="zh-CN"/>
              </w:rPr>
              <w:t>1</w:t>
            </w:r>
          </w:p>
        </w:tc>
      </w:tr>
      <w:tr w:rsidR="00A9774A" w:rsidRPr="007E4BEF" w14:paraId="646C1700" w14:textId="77777777" w:rsidTr="002874AC">
        <w:trPr>
          <w:trHeight w:val="300"/>
        </w:trPr>
        <w:tc>
          <w:tcPr>
            <w:tcW w:w="3417" w:type="dxa"/>
            <w:tcBorders>
              <w:top w:val="nil"/>
              <w:left w:val="nil"/>
              <w:bottom w:val="nil"/>
              <w:right w:val="nil"/>
            </w:tcBorders>
            <w:shd w:val="clear" w:color="auto" w:fill="auto"/>
            <w:noWrap/>
            <w:vAlign w:val="bottom"/>
            <w:hideMark/>
          </w:tcPr>
          <w:p w14:paraId="027EA3FB" w14:textId="77777777" w:rsidR="00A9774A" w:rsidRPr="0083601F" w:rsidRDefault="00A9774A" w:rsidP="002874AC">
            <w:pPr>
              <w:pStyle w:val="table2"/>
              <w:rPr>
                <w:i/>
                <w:lang w:val="en-US" w:eastAsia="zh-CN"/>
              </w:rPr>
            </w:pPr>
            <w:r w:rsidRPr="009269E8">
              <w:rPr>
                <w:i/>
                <w:lang w:val="en-US" w:eastAsia="zh-CN"/>
              </w:rPr>
              <w:t xml:space="preserve">   secondary education (some or completed)</w:t>
            </w:r>
          </w:p>
        </w:tc>
        <w:tc>
          <w:tcPr>
            <w:tcW w:w="993" w:type="dxa"/>
            <w:tcBorders>
              <w:top w:val="nil"/>
              <w:left w:val="nil"/>
              <w:bottom w:val="nil"/>
              <w:right w:val="nil"/>
            </w:tcBorders>
            <w:shd w:val="clear" w:color="auto" w:fill="auto"/>
            <w:noWrap/>
            <w:vAlign w:val="bottom"/>
            <w:hideMark/>
          </w:tcPr>
          <w:p w14:paraId="4F657F6B"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088</w:t>
            </w:r>
          </w:p>
        </w:tc>
        <w:tc>
          <w:tcPr>
            <w:tcW w:w="1275" w:type="dxa"/>
            <w:tcBorders>
              <w:top w:val="nil"/>
              <w:left w:val="nil"/>
              <w:bottom w:val="nil"/>
              <w:right w:val="nil"/>
            </w:tcBorders>
            <w:shd w:val="clear" w:color="auto" w:fill="auto"/>
            <w:noWrap/>
            <w:vAlign w:val="bottom"/>
            <w:hideMark/>
          </w:tcPr>
          <w:p w14:paraId="03D5FE4C" w14:textId="77777777" w:rsidR="00A9774A" w:rsidRPr="007E4BEF" w:rsidRDefault="00A9774A" w:rsidP="002874AC">
            <w:pPr>
              <w:pStyle w:val="table2"/>
              <w:jc w:val="right"/>
              <w:rPr>
                <w:lang w:eastAsia="zh-CN"/>
              </w:rPr>
            </w:pPr>
            <w:r w:rsidRPr="007E4BEF">
              <w:rPr>
                <w:lang w:eastAsia="zh-CN"/>
              </w:rPr>
              <w:t>0.203</w:t>
            </w:r>
          </w:p>
        </w:tc>
        <w:tc>
          <w:tcPr>
            <w:tcW w:w="1435" w:type="dxa"/>
            <w:tcBorders>
              <w:top w:val="nil"/>
              <w:left w:val="nil"/>
              <w:bottom w:val="nil"/>
              <w:right w:val="nil"/>
            </w:tcBorders>
            <w:shd w:val="clear" w:color="auto" w:fill="auto"/>
            <w:noWrap/>
            <w:vAlign w:val="bottom"/>
            <w:hideMark/>
          </w:tcPr>
          <w:p w14:paraId="43896C98" w14:textId="77777777" w:rsidR="00A9774A" w:rsidRPr="007E4BEF" w:rsidRDefault="00A9774A" w:rsidP="002874AC">
            <w:pPr>
              <w:pStyle w:val="table2"/>
              <w:jc w:val="right"/>
              <w:rPr>
                <w:lang w:eastAsia="zh-CN"/>
              </w:rPr>
            </w:pPr>
            <w:r w:rsidRPr="007E4BEF">
              <w:rPr>
                <w:lang w:eastAsia="zh-CN"/>
              </w:rPr>
              <w:t>0.403</w:t>
            </w:r>
          </w:p>
        </w:tc>
        <w:tc>
          <w:tcPr>
            <w:tcW w:w="960" w:type="dxa"/>
            <w:tcBorders>
              <w:top w:val="nil"/>
              <w:left w:val="nil"/>
              <w:bottom w:val="nil"/>
              <w:right w:val="nil"/>
            </w:tcBorders>
            <w:shd w:val="clear" w:color="auto" w:fill="auto"/>
            <w:noWrap/>
            <w:vAlign w:val="bottom"/>
            <w:hideMark/>
          </w:tcPr>
          <w:p w14:paraId="0A17EBE6"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52C18084" w14:textId="77777777" w:rsidR="00A9774A" w:rsidRPr="007E4BEF" w:rsidRDefault="00A9774A" w:rsidP="002874AC">
            <w:pPr>
              <w:pStyle w:val="table2"/>
              <w:jc w:val="right"/>
              <w:rPr>
                <w:lang w:eastAsia="zh-CN"/>
              </w:rPr>
            </w:pPr>
            <w:r w:rsidRPr="007E4BEF">
              <w:rPr>
                <w:lang w:eastAsia="zh-CN"/>
              </w:rPr>
              <w:t>1</w:t>
            </w:r>
          </w:p>
        </w:tc>
      </w:tr>
      <w:tr w:rsidR="004678A8" w:rsidRPr="007E4BEF" w14:paraId="7F494F35" w14:textId="77777777" w:rsidTr="002874AC">
        <w:trPr>
          <w:trHeight w:val="300"/>
        </w:trPr>
        <w:tc>
          <w:tcPr>
            <w:tcW w:w="3417" w:type="dxa"/>
            <w:tcBorders>
              <w:top w:val="nil"/>
              <w:left w:val="nil"/>
              <w:right w:val="nil"/>
            </w:tcBorders>
            <w:shd w:val="clear" w:color="auto" w:fill="auto"/>
            <w:noWrap/>
            <w:vAlign w:val="bottom"/>
          </w:tcPr>
          <w:p w14:paraId="3D545F89" w14:textId="77777777" w:rsidR="004678A8" w:rsidRPr="004678A8" w:rsidRDefault="004678A8" w:rsidP="002874AC">
            <w:pPr>
              <w:pStyle w:val="table2"/>
              <w:rPr>
                <w:highlight w:val="yellow"/>
                <w:lang w:eastAsia="zh-CN"/>
              </w:rPr>
            </w:pPr>
            <w:r>
              <w:rPr>
                <w:bCs/>
                <w:lang w:eastAsia="zh-CN"/>
              </w:rPr>
              <w:t>Ethnicity</w:t>
            </w:r>
          </w:p>
        </w:tc>
        <w:tc>
          <w:tcPr>
            <w:tcW w:w="993" w:type="dxa"/>
            <w:tcBorders>
              <w:top w:val="nil"/>
              <w:left w:val="nil"/>
              <w:right w:val="nil"/>
            </w:tcBorders>
            <w:shd w:val="clear" w:color="auto" w:fill="auto"/>
            <w:noWrap/>
            <w:vAlign w:val="bottom"/>
          </w:tcPr>
          <w:p w14:paraId="68E1EAC0" w14:textId="23DF0FD6" w:rsidR="004678A8" w:rsidRPr="004678A8" w:rsidRDefault="004678A8" w:rsidP="002874AC">
            <w:pPr>
              <w:pStyle w:val="table2"/>
              <w:jc w:val="right"/>
              <w:rPr>
                <w:highlight w:val="yellow"/>
                <w:lang w:eastAsia="zh-CN"/>
              </w:rPr>
            </w:pPr>
          </w:p>
        </w:tc>
        <w:tc>
          <w:tcPr>
            <w:tcW w:w="1275" w:type="dxa"/>
            <w:tcBorders>
              <w:top w:val="nil"/>
              <w:left w:val="nil"/>
              <w:right w:val="nil"/>
            </w:tcBorders>
            <w:shd w:val="clear" w:color="auto" w:fill="auto"/>
            <w:noWrap/>
            <w:vAlign w:val="bottom"/>
          </w:tcPr>
          <w:p w14:paraId="3DF7C734" w14:textId="77777777" w:rsidR="004678A8" w:rsidRPr="004678A8" w:rsidRDefault="004678A8" w:rsidP="002874AC">
            <w:pPr>
              <w:pStyle w:val="table2"/>
              <w:jc w:val="right"/>
              <w:rPr>
                <w:highlight w:val="yellow"/>
                <w:lang w:eastAsia="zh-CN"/>
              </w:rPr>
            </w:pPr>
          </w:p>
        </w:tc>
        <w:tc>
          <w:tcPr>
            <w:tcW w:w="1435" w:type="dxa"/>
            <w:tcBorders>
              <w:top w:val="nil"/>
              <w:left w:val="nil"/>
              <w:right w:val="nil"/>
            </w:tcBorders>
            <w:shd w:val="clear" w:color="auto" w:fill="auto"/>
            <w:noWrap/>
            <w:vAlign w:val="bottom"/>
          </w:tcPr>
          <w:p w14:paraId="65A1EE9B" w14:textId="77777777" w:rsidR="004678A8" w:rsidRPr="004678A8" w:rsidRDefault="004678A8" w:rsidP="002874AC">
            <w:pPr>
              <w:pStyle w:val="table2"/>
              <w:jc w:val="right"/>
              <w:rPr>
                <w:highlight w:val="yellow"/>
                <w:lang w:eastAsia="zh-CN"/>
              </w:rPr>
            </w:pPr>
          </w:p>
        </w:tc>
        <w:tc>
          <w:tcPr>
            <w:tcW w:w="960" w:type="dxa"/>
            <w:tcBorders>
              <w:top w:val="nil"/>
              <w:left w:val="nil"/>
              <w:right w:val="nil"/>
            </w:tcBorders>
            <w:shd w:val="clear" w:color="auto" w:fill="auto"/>
            <w:noWrap/>
            <w:vAlign w:val="bottom"/>
          </w:tcPr>
          <w:p w14:paraId="104B8C8C" w14:textId="1895477E" w:rsidR="004678A8" w:rsidRPr="004678A8" w:rsidRDefault="004678A8" w:rsidP="002874AC">
            <w:pPr>
              <w:pStyle w:val="table2"/>
              <w:jc w:val="right"/>
              <w:rPr>
                <w:highlight w:val="yellow"/>
                <w:lang w:eastAsia="zh-CN"/>
              </w:rPr>
            </w:pPr>
          </w:p>
        </w:tc>
        <w:tc>
          <w:tcPr>
            <w:tcW w:w="960" w:type="dxa"/>
            <w:tcBorders>
              <w:top w:val="nil"/>
              <w:left w:val="nil"/>
              <w:right w:val="nil"/>
            </w:tcBorders>
            <w:shd w:val="clear" w:color="auto" w:fill="auto"/>
            <w:noWrap/>
            <w:vAlign w:val="bottom"/>
          </w:tcPr>
          <w:p w14:paraId="3D5BA157" w14:textId="47F4E22A" w:rsidR="004678A8" w:rsidRPr="004678A8" w:rsidRDefault="004678A8" w:rsidP="002874AC">
            <w:pPr>
              <w:pStyle w:val="table2"/>
              <w:jc w:val="right"/>
              <w:rPr>
                <w:highlight w:val="yellow"/>
                <w:lang w:eastAsia="zh-CN"/>
              </w:rPr>
            </w:pPr>
          </w:p>
        </w:tc>
      </w:tr>
      <w:tr w:rsidR="004678A8" w:rsidRPr="007E4BEF" w14:paraId="7AA2E871" w14:textId="77777777" w:rsidTr="002874AC">
        <w:trPr>
          <w:trHeight w:val="300"/>
        </w:trPr>
        <w:tc>
          <w:tcPr>
            <w:tcW w:w="3417" w:type="dxa"/>
            <w:tcBorders>
              <w:top w:val="nil"/>
              <w:left w:val="nil"/>
              <w:right w:val="nil"/>
            </w:tcBorders>
            <w:shd w:val="clear" w:color="auto" w:fill="auto"/>
            <w:noWrap/>
            <w:vAlign w:val="bottom"/>
          </w:tcPr>
          <w:p w14:paraId="3A70A4D5" w14:textId="77777777" w:rsidR="004678A8" w:rsidRDefault="004678A8" w:rsidP="002874AC">
            <w:pPr>
              <w:pStyle w:val="table2"/>
              <w:rPr>
                <w:bCs/>
                <w:lang w:eastAsia="zh-CN"/>
              </w:rPr>
            </w:pPr>
            <w:r w:rsidRPr="009269E8">
              <w:rPr>
                <w:i/>
                <w:lang w:eastAsia="zh-CN"/>
              </w:rPr>
              <w:t xml:space="preserve">   </w:t>
            </w:r>
            <w:r>
              <w:rPr>
                <w:i/>
                <w:lang w:eastAsia="zh-CN"/>
              </w:rPr>
              <w:t>Shi</w:t>
            </w:r>
          </w:p>
        </w:tc>
        <w:tc>
          <w:tcPr>
            <w:tcW w:w="993" w:type="dxa"/>
            <w:tcBorders>
              <w:top w:val="nil"/>
              <w:left w:val="nil"/>
              <w:right w:val="nil"/>
            </w:tcBorders>
            <w:shd w:val="clear" w:color="auto" w:fill="auto"/>
            <w:noWrap/>
            <w:vAlign w:val="bottom"/>
          </w:tcPr>
          <w:p w14:paraId="0E704D88" w14:textId="694F9ADF" w:rsidR="004678A8" w:rsidRPr="004678A8" w:rsidRDefault="004678A8" w:rsidP="002874AC">
            <w:pPr>
              <w:pStyle w:val="table2"/>
              <w:jc w:val="right"/>
              <w:rPr>
                <w:highlight w:val="yellow"/>
                <w:lang w:eastAsia="zh-CN"/>
              </w:rPr>
            </w:pPr>
            <w:r w:rsidRPr="007E4BEF">
              <w:rPr>
                <w:lang w:eastAsia="zh-CN"/>
              </w:rPr>
              <w:t>1</w:t>
            </w:r>
            <w:r>
              <w:rPr>
                <w:lang w:eastAsia="zh-CN"/>
              </w:rPr>
              <w:t>,</w:t>
            </w:r>
            <w:r w:rsidRPr="007E4BEF">
              <w:rPr>
                <w:lang w:eastAsia="zh-CN"/>
              </w:rPr>
              <w:t>092</w:t>
            </w:r>
          </w:p>
        </w:tc>
        <w:tc>
          <w:tcPr>
            <w:tcW w:w="1275" w:type="dxa"/>
            <w:tcBorders>
              <w:top w:val="nil"/>
              <w:left w:val="nil"/>
              <w:right w:val="nil"/>
            </w:tcBorders>
            <w:shd w:val="clear" w:color="auto" w:fill="auto"/>
            <w:noWrap/>
            <w:vAlign w:val="bottom"/>
          </w:tcPr>
          <w:p w14:paraId="055B1F32" w14:textId="58928E9B" w:rsidR="004678A8" w:rsidRPr="00004B48" w:rsidRDefault="00391093" w:rsidP="002874AC">
            <w:pPr>
              <w:pStyle w:val="table2"/>
              <w:jc w:val="right"/>
              <w:rPr>
                <w:lang w:eastAsia="zh-CN"/>
              </w:rPr>
            </w:pPr>
            <w:r w:rsidRPr="00004B48">
              <w:rPr>
                <w:lang w:eastAsia="zh-CN"/>
              </w:rPr>
              <w:t>0.308</w:t>
            </w:r>
          </w:p>
        </w:tc>
        <w:tc>
          <w:tcPr>
            <w:tcW w:w="1435" w:type="dxa"/>
            <w:tcBorders>
              <w:top w:val="nil"/>
              <w:left w:val="nil"/>
              <w:right w:val="nil"/>
            </w:tcBorders>
            <w:shd w:val="clear" w:color="auto" w:fill="auto"/>
            <w:noWrap/>
            <w:vAlign w:val="bottom"/>
          </w:tcPr>
          <w:p w14:paraId="13C86AE7" w14:textId="74000713" w:rsidR="004678A8" w:rsidRPr="00004B48" w:rsidRDefault="00391093" w:rsidP="002874AC">
            <w:pPr>
              <w:pStyle w:val="table2"/>
              <w:jc w:val="right"/>
              <w:rPr>
                <w:lang w:eastAsia="zh-CN"/>
              </w:rPr>
            </w:pPr>
            <w:r w:rsidRPr="00004B48">
              <w:rPr>
                <w:lang w:eastAsia="zh-CN"/>
              </w:rPr>
              <w:t>0.462</w:t>
            </w:r>
          </w:p>
        </w:tc>
        <w:tc>
          <w:tcPr>
            <w:tcW w:w="960" w:type="dxa"/>
            <w:tcBorders>
              <w:top w:val="nil"/>
              <w:left w:val="nil"/>
              <w:right w:val="nil"/>
            </w:tcBorders>
            <w:shd w:val="clear" w:color="auto" w:fill="auto"/>
            <w:noWrap/>
            <w:vAlign w:val="bottom"/>
          </w:tcPr>
          <w:p w14:paraId="0AB9DA11" w14:textId="1B3EEA27" w:rsidR="004678A8" w:rsidRPr="00004B48" w:rsidRDefault="004678A8" w:rsidP="002874AC">
            <w:pPr>
              <w:pStyle w:val="table2"/>
              <w:jc w:val="right"/>
              <w:rPr>
                <w:lang w:eastAsia="zh-CN"/>
              </w:rPr>
            </w:pPr>
            <w:r w:rsidRPr="00391093">
              <w:rPr>
                <w:lang w:eastAsia="zh-CN"/>
              </w:rPr>
              <w:t>0</w:t>
            </w:r>
          </w:p>
        </w:tc>
        <w:tc>
          <w:tcPr>
            <w:tcW w:w="960" w:type="dxa"/>
            <w:tcBorders>
              <w:top w:val="nil"/>
              <w:left w:val="nil"/>
              <w:right w:val="nil"/>
            </w:tcBorders>
            <w:shd w:val="clear" w:color="auto" w:fill="auto"/>
            <w:noWrap/>
            <w:vAlign w:val="bottom"/>
          </w:tcPr>
          <w:p w14:paraId="16EF6FDB" w14:textId="57A9A76B" w:rsidR="004678A8" w:rsidRPr="004678A8" w:rsidRDefault="004678A8" w:rsidP="002874AC">
            <w:pPr>
              <w:pStyle w:val="table2"/>
              <w:jc w:val="right"/>
              <w:rPr>
                <w:highlight w:val="yellow"/>
                <w:lang w:eastAsia="zh-CN"/>
              </w:rPr>
            </w:pPr>
            <w:r w:rsidRPr="007E4BEF">
              <w:rPr>
                <w:lang w:eastAsia="zh-CN"/>
              </w:rPr>
              <w:t>1</w:t>
            </w:r>
          </w:p>
        </w:tc>
      </w:tr>
      <w:tr w:rsidR="004678A8" w:rsidRPr="007E4BEF" w14:paraId="1E45DE36" w14:textId="77777777" w:rsidTr="00004B48">
        <w:trPr>
          <w:trHeight w:val="300"/>
        </w:trPr>
        <w:tc>
          <w:tcPr>
            <w:tcW w:w="3417" w:type="dxa"/>
            <w:tcBorders>
              <w:top w:val="nil"/>
              <w:left w:val="nil"/>
              <w:right w:val="nil"/>
            </w:tcBorders>
            <w:shd w:val="clear" w:color="auto" w:fill="auto"/>
            <w:noWrap/>
            <w:vAlign w:val="bottom"/>
          </w:tcPr>
          <w:p w14:paraId="56BC269E" w14:textId="77777777" w:rsidR="004678A8" w:rsidRPr="009269E8" w:rsidRDefault="004678A8" w:rsidP="002874AC">
            <w:pPr>
              <w:pStyle w:val="table2"/>
              <w:rPr>
                <w:i/>
                <w:lang w:eastAsia="zh-CN"/>
              </w:rPr>
            </w:pPr>
            <w:r w:rsidRPr="009269E8">
              <w:rPr>
                <w:i/>
                <w:lang w:eastAsia="zh-CN"/>
              </w:rPr>
              <w:t xml:space="preserve">   </w:t>
            </w:r>
            <w:r>
              <w:rPr>
                <w:i/>
                <w:lang w:eastAsia="zh-CN"/>
              </w:rPr>
              <w:t>Rega</w:t>
            </w:r>
          </w:p>
        </w:tc>
        <w:tc>
          <w:tcPr>
            <w:tcW w:w="993" w:type="dxa"/>
            <w:tcBorders>
              <w:top w:val="nil"/>
              <w:left w:val="nil"/>
              <w:right w:val="nil"/>
            </w:tcBorders>
            <w:shd w:val="clear" w:color="auto" w:fill="auto"/>
            <w:noWrap/>
            <w:vAlign w:val="bottom"/>
          </w:tcPr>
          <w:p w14:paraId="0B226713" w14:textId="2DF53A00" w:rsidR="004678A8" w:rsidRPr="004678A8" w:rsidRDefault="004678A8" w:rsidP="002874AC">
            <w:pPr>
              <w:pStyle w:val="table2"/>
              <w:jc w:val="right"/>
              <w:rPr>
                <w:highlight w:val="yellow"/>
                <w:lang w:eastAsia="zh-CN"/>
              </w:rPr>
            </w:pPr>
            <w:r w:rsidRPr="007E4BEF">
              <w:rPr>
                <w:lang w:eastAsia="zh-CN"/>
              </w:rPr>
              <w:t>1</w:t>
            </w:r>
            <w:r>
              <w:rPr>
                <w:lang w:eastAsia="zh-CN"/>
              </w:rPr>
              <w:t>,</w:t>
            </w:r>
            <w:r w:rsidRPr="007E4BEF">
              <w:rPr>
                <w:lang w:eastAsia="zh-CN"/>
              </w:rPr>
              <w:t>092</w:t>
            </w:r>
          </w:p>
        </w:tc>
        <w:tc>
          <w:tcPr>
            <w:tcW w:w="1275" w:type="dxa"/>
            <w:tcBorders>
              <w:top w:val="nil"/>
              <w:left w:val="nil"/>
              <w:right w:val="nil"/>
            </w:tcBorders>
            <w:shd w:val="clear" w:color="auto" w:fill="auto"/>
            <w:noWrap/>
            <w:vAlign w:val="bottom"/>
          </w:tcPr>
          <w:p w14:paraId="41D8F80D" w14:textId="586F5924" w:rsidR="004678A8" w:rsidRPr="00004B48" w:rsidRDefault="00B054B5" w:rsidP="002874AC">
            <w:pPr>
              <w:pStyle w:val="table2"/>
              <w:jc w:val="right"/>
              <w:rPr>
                <w:lang w:eastAsia="zh-CN"/>
              </w:rPr>
            </w:pPr>
            <w:r w:rsidRPr="00004B48">
              <w:rPr>
                <w:lang w:eastAsia="zh-CN"/>
              </w:rPr>
              <w:t>0.478</w:t>
            </w:r>
          </w:p>
        </w:tc>
        <w:tc>
          <w:tcPr>
            <w:tcW w:w="1435" w:type="dxa"/>
            <w:tcBorders>
              <w:top w:val="nil"/>
              <w:left w:val="nil"/>
              <w:right w:val="nil"/>
            </w:tcBorders>
            <w:shd w:val="clear" w:color="auto" w:fill="auto"/>
            <w:noWrap/>
            <w:vAlign w:val="bottom"/>
          </w:tcPr>
          <w:p w14:paraId="3BB0F4BF" w14:textId="75542831" w:rsidR="004678A8" w:rsidRPr="00004B48" w:rsidRDefault="00B054B5" w:rsidP="002874AC">
            <w:pPr>
              <w:pStyle w:val="table2"/>
              <w:jc w:val="right"/>
              <w:rPr>
                <w:lang w:eastAsia="zh-CN"/>
              </w:rPr>
            </w:pPr>
            <w:r w:rsidRPr="00004B48">
              <w:rPr>
                <w:lang w:eastAsia="zh-CN"/>
              </w:rPr>
              <w:t>0.500</w:t>
            </w:r>
          </w:p>
        </w:tc>
        <w:tc>
          <w:tcPr>
            <w:tcW w:w="960" w:type="dxa"/>
            <w:tcBorders>
              <w:top w:val="nil"/>
              <w:left w:val="nil"/>
              <w:right w:val="nil"/>
            </w:tcBorders>
            <w:shd w:val="clear" w:color="auto" w:fill="auto"/>
            <w:noWrap/>
            <w:vAlign w:val="bottom"/>
          </w:tcPr>
          <w:p w14:paraId="0EAA1E0E" w14:textId="22889821" w:rsidR="004678A8" w:rsidRPr="00004B48" w:rsidRDefault="004678A8" w:rsidP="002874AC">
            <w:pPr>
              <w:pStyle w:val="table2"/>
              <w:jc w:val="right"/>
              <w:rPr>
                <w:lang w:eastAsia="zh-CN"/>
              </w:rPr>
            </w:pPr>
            <w:r w:rsidRPr="00391093">
              <w:rPr>
                <w:lang w:eastAsia="zh-CN"/>
              </w:rPr>
              <w:t>0</w:t>
            </w:r>
          </w:p>
        </w:tc>
        <w:tc>
          <w:tcPr>
            <w:tcW w:w="960" w:type="dxa"/>
            <w:tcBorders>
              <w:top w:val="nil"/>
              <w:left w:val="nil"/>
              <w:right w:val="nil"/>
            </w:tcBorders>
            <w:shd w:val="clear" w:color="auto" w:fill="auto"/>
            <w:noWrap/>
            <w:vAlign w:val="bottom"/>
          </w:tcPr>
          <w:p w14:paraId="2F4FAA52" w14:textId="6D40DECF" w:rsidR="004678A8" w:rsidRPr="004678A8" w:rsidRDefault="004678A8" w:rsidP="002874AC">
            <w:pPr>
              <w:pStyle w:val="table2"/>
              <w:jc w:val="right"/>
              <w:rPr>
                <w:highlight w:val="yellow"/>
                <w:lang w:eastAsia="zh-CN"/>
              </w:rPr>
            </w:pPr>
            <w:r w:rsidRPr="007E4BEF">
              <w:rPr>
                <w:lang w:eastAsia="zh-CN"/>
              </w:rPr>
              <w:t>1</w:t>
            </w:r>
          </w:p>
        </w:tc>
      </w:tr>
      <w:tr w:rsidR="004678A8" w:rsidRPr="007E4BEF" w14:paraId="79F8EA3A" w14:textId="77777777" w:rsidTr="00004B48">
        <w:trPr>
          <w:trHeight w:val="300"/>
        </w:trPr>
        <w:tc>
          <w:tcPr>
            <w:tcW w:w="3417" w:type="dxa"/>
            <w:tcBorders>
              <w:top w:val="nil"/>
              <w:left w:val="nil"/>
              <w:right w:val="nil"/>
            </w:tcBorders>
            <w:shd w:val="clear" w:color="auto" w:fill="auto"/>
            <w:noWrap/>
            <w:vAlign w:val="bottom"/>
          </w:tcPr>
          <w:p w14:paraId="796A8FF6" w14:textId="77777777" w:rsidR="004678A8" w:rsidRPr="009269E8" w:rsidRDefault="004678A8" w:rsidP="002874AC">
            <w:pPr>
              <w:pStyle w:val="table2"/>
              <w:rPr>
                <w:i/>
                <w:lang w:eastAsia="zh-CN"/>
              </w:rPr>
            </w:pPr>
            <w:r w:rsidRPr="009269E8">
              <w:rPr>
                <w:i/>
                <w:lang w:eastAsia="zh-CN"/>
              </w:rPr>
              <w:t xml:space="preserve">   </w:t>
            </w:r>
            <w:r>
              <w:rPr>
                <w:i/>
                <w:lang w:eastAsia="zh-CN"/>
              </w:rPr>
              <w:t>Other</w:t>
            </w:r>
          </w:p>
        </w:tc>
        <w:tc>
          <w:tcPr>
            <w:tcW w:w="993" w:type="dxa"/>
            <w:tcBorders>
              <w:top w:val="nil"/>
              <w:left w:val="nil"/>
              <w:right w:val="nil"/>
            </w:tcBorders>
            <w:shd w:val="clear" w:color="auto" w:fill="auto"/>
            <w:noWrap/>
            <w:vAlign w:val="bottom"/>
          </w:tcPr>
          <w:p w14:paraId="0821C21D" w14:textId="33BED570" w:rsidR="004678A8" w:rsidRPr="004678A8" w:rsidRDefault="004678A8" w:rsidP="002874AC">
            <w:pPr>
              <w:pStyle w:val="table2"/>
              <w:jc w:val="right"/>
              <w:rPr>
                <w:highlight w:val="yellow"/>
                <w:lang w:eastAsia="zh-CN"/>
              </w:rPr>
            </w:pPr>
            <w:r w:rsidRPr="007E4BEF">
              <w:rPr>
                <w:lang w:eastAsia="zh-CN"/>
              </w:rPr>
              <w:t>1</w:t>
            </w:r>
            <w:r>
              <w:rPr>
                <w:lang w:eastAsia="zh-CN"/>
              </w:rPr>
              <w:t>,</w:t>
            </w:r>
            <w:r w:rsidRPr="007E4BEF">
              <w:rPr>
                <w:lang w:eastAsia="zh-CN"/>
              </w:rPr>
              <w:t>092</w:t>
            </w:r>
          </w:p>
        </w:tc>
        <w:tc>
          <w:tcPr>
            <w:tcW w:w="1275" w:type="dxa"/>
            <w:tcBorders>
              <w:top w:val="nil"/>
              <w:left w:val="nil"/>
              <w:right w:val="nil"/>
            </w:tcBorders>
            <w:shd w:val="clear" w:color="auto" w:fill="auto"/>
            <w:noWrap/>
            <w:vAlign w:val="bottom"/>
          </w:tcPr>
          <w:p w14:paraId="12207BAD" w14:textId="4F0AE6AF" w:rsidR="004678A8" w:rsidRPr="00004B48" w:rsidRDefault="00B054B5" w:rsidP="002874AC">
            <w:pPr>
              <w:pStyle w:val="table2"/>
              <w:jc w:val="right"/>
              <w:rPr>
                <w:lang w:eastAsia="zh-CN"/>
              </w:rPr>
            </w:pPr>
            <w:r w:rsidRPr="00004B48">
              <w:rPr>
                <w:lang w:eastAsia="zh-CN"/>
              </w:rPr>
              <w:t>0.214</w:t>
            </w:r>
          </w:p>
        </w:tc>
        <w:tc>
          <w:tcPr>
            <w:tcW w:w="1435" w:type="dxa"/>
            <w:tcBorders>
              <w:top w:val="nil"/>
              <w:left w:val="nil"/>
              <w:right w:val="nil"/>
            </w:tcBorders>
            <w:shd w:val="clear" w:color="auto" w:fill="auto"/>
            <w:noWrap/>
            <w:vAlign w:val="bottom"/>
          </w:tcPr>
          <w:p w14:paraId="0335449D" w14:textId="08CD23DC" w:rsidR="004678A8" w:rsidRPr="00004B48" w:rsidRDefault="00B054B5" w:rsidP="002874AC">
            <w:pPr>
              <w:pStyle w:val="table2"/>
              <w:jc w:val="right"/>
              <w:rPr>
                <w:lang w:eastAsia="zh-CN"/>
              </w:rPr>
            </w:pPr>
            <w:r w:rsidRPr="00004B48">
              <w:rPr>
                <w:lang w:eastAsia="zh-CN"/>
              </w:rPr>
              <w:t>0.411</w:t>
            </w:r>
          </w:p>
        </w:tc>
        <w:tc>
          <w:tcPr>
            <w:tcW w:w="960" w:type="dxa"/>
            <w:tcBorders>
              <w:top w:val="nil"/>
              <w:left w:val="nil"/>
              <w:right w:val="nil"/>
            </w:tcBorders>
            <w:shd w:val="clear" w:color="auto" w:fill="auto"/>
            <w:noWrap/>
            <w:vAlign w:val="bottom"/>
          </w:tcPr>
          <w:p w14:paraId="2D95E752" w14:textId="6CB0AD92" w:rsidR="004678A8" w:rsidRPr="00004B48" w:rsidRDefault="004678A8" w:rsidP="002874AC">
            <w:pPr>
              <w:pStyle w:val="table2"/>
              <w:jc w:val="right"/>
              <w:rPr>
                <w:lang w:eastAsia="zh-CN"/>
              </w:rPr>
            </w:pPr>
            <w:r w:rsidRPr="00391093">
              <w:rPr>
                <w:lang w:eastAsia="zh-CN"/>
              </w:rPr>
              <w:t>0</w:t>
            </w:r>
          </w:p>
        </w:tc>
        <w:tc>
          <w:tcPr>
            <w:tcW w:w="960" w:type="dxa"/>
            <w:tcBorders>
              <w:top w:val="nil"/>
              <w:left w:val="nil"/>
              <w:right w:val="nil"/>
            </w:tcBorders>
            <w:shd w:val="clear" w:color="auto" w:fill="auto"/>
            <w:noWrap/>
            <w:vAlign w:val="bottom"/>
          </w:tcPr>
          <w:p w14:paraId="6AD7F5AD" w14:textId="50FFBC57" w:rsidR="004678A8" w:rsidRPr="004678A8" w:rsidRDefault="004678A8" w:rsidP="002874AC">
            <w:pPr>
              <w:pStyle w:val="table2"/>
              <w:jc w:val="right"/>
              <w:rPr>
                <w:highlight w:val="yellow"/>
                <w:lang w:eastAsia="zh-CN"/>
              </w:rPr>
            </w:pPr>
            <w:r w:rsidRPr="007E4BEF">
              <w:rPr>
                <w:lang w:eastAsia="zh-CN"/>
              </w:rPr>
              <w:t>1</w:t>
            </w:r>
          </w:p>
        </w:tc>
      </w:tr>
      <w:tr w:rsidR="004678A8" w:rsidRPr="007E4BEF" w14:paraId="176F4225" w14:textId="77777777" w:rsidTr="00004B48">
        <w:trPr>
          <w:trHeight w:val="300"/>
        </w:trPr>
        <w:tc>
          <w:tcPr>
            <w:tcW w:w="3417" w:type="dxa"/>
            <w:tcBorders>
              <w:top w:val="nil"/>
              <w:left w:val="nil"/>
              <w:bottom w:val="nil"/>
              <w:right w:val="nil"/>
            </w:tcBorders>
            <w:shd w:val="clear" w:color="auto" w:fill="auto"/>
            <w:noWrap/>
            <w:vAlign w:val="bottom"/>
            <w:hideMark/>
          </w:tcPr>
          <w:p w14:paraId="60BDE34E" w14:textId="344E00AC" w:rsidR="004678A8" w:rsidRPr="0083601F" w:rsidRDefault="004678A8" w:rsidP="002874AC">
            <w:pPr>
              <w:pStyle w:val="table2"/>
              <w:rPr>
                <w:bCs/>
                <w:lang w:eastAsia="zh-CN"/>
              </w:rPr>
            </w:pPr>
            <w:r>
              <w:rPr>
                <w:bCs/>
                <w:lang w:eastAsia="zh-CN"/>
              </w:rPr>
              <w:t>Religion</w:t>
            </w:r>
          </w:p>
        </w:tc>
        <w:tc>
          <w:tcPr>
            <w:tcW w:w="993" w:type="dxa"/>
            <w:tcBorders>
              <w:top w:val="nil"/>
              <w:left w:val="nil"/>
              <w:bottom w:val="nil"/>
              <w:right w:val="nil"/>
            </w:tcBorders>
            <w:shd w:val="clear" w:color="auto" w:fill="auto"/>
            <w:noWrap/>
            <w:vAlign w:val="bottom"/>
            <w:hideMark/>
          </w:tcPr>
          <w:p w14:paraId="6FC5FE8D" w14:textId="63B5636A" w:rsidR="004678A8" w:rsidRPr="007E4BEF" w:rsidRDefault="004678A8" w:rsidP="002874AC">
            <w:pPr>
              <w:pStyle w:val="table2"/>
              <w:jc w:val="right"/>
              <w:rPr>
                <w:lang w:eastAsia="zh-CN"/>
              </w:rPr>
            </w:pPr>
          </w:p>
        </w:tc>
        <w:tc>
          <w:tcPr>
            <w:tcW w:w="1275" w:type="dxa"/>
            <w:tcBorders>
              <w:top w:val="nil"/>
              <w:left w:val="nil"/>
              <w:bottom w:val="nil"/>
              <w:right w:val="nil"/>
            </w:tcBorders>
            <w:shd w:val="clear" w:color="auto" w:fill="auto"/>
            <w:noWrap/>
            <w:vAlign w:val="bottom"/>
            <w:hideMark/>
          </w:tcPr>
          <w:p w14:paraId="19C3518C" w14:textId="77777777" w:rsidR="004678A8" w:rsidRPr="007E4BEF" w:rsidRDefault="004678A8" w:rsidP="002874AC">
            <w:pPr>
              <w:pStyle w:val="table2"/>
              <w:jc w:val="right"/>
              <w:rPr>
                <w:lang w:eastAsia="zh-CN"/>
              </w:rPr>
            </w:pPr>
          </w:p>
        </w:tc>
        <w:tc>
          <w:tcPr>
            <w:tcW w:w="1435" w:type="dxa"/>
            <w:tcBorders>
              <w:top w:val="nil"/>
              <w:left w:val="nil"/>
              <w:bottom w:val="nil"/>
              <w:right w:val="nil"/>
            </w:tcBorders>
            <w:shd w:val="clear" w:color="auto" w:fill="auto"/>
            <w:noWrap/>
            <w:vAlign w:val="bottom"/>
            <w:hideMark/>
          </w:tcPr>
          <w:p w14:paraId="751C381B" w14:textId="77777777" w:rsidR="004678A8" w:rsidRPr="007E4BEF" w:rsidRDefault="004678A8" w:rsidP="002874AC">
            <w:pPr>
              <w:pStyle w:val="table2"/>
              <w:jc w:val="right"/>
              <w:rPr>
                <w:lang w:eastAsia="zh-CN"/>
              </w:rPr>
            </w:pPr>
          </w:p>
        </w:tc>
        <w:tc>
          <w:tcPr>
            <w:tcW w:w="960" w:type="dxa"/>
            <w:tcBorders>
              <w:top w:val="nil"/>
              <w:left w:val="nil"/>
              <w:bottom w:val="nil"/>
              <w:right w:val="nil"/>
            </w:tcBorders>
            <w:shd w:val="clear" w:color="auto" w:fill="auto"/>
            <w:noWrap/>
            <w:vAlign w:val="bottom"/>
          </w:tcPr>
          <w:p w14:paraId="56A15240" w14:textId="78EB61C9" w:rsidR="004678A8" w:rsidRPr="007E4BEF" w:rsidRDefault="004678A8" w:rsidP="002874AC">
            <w:pPr>
              <w:pStyle w:val="table2"/>
              <w:jc w:val="right"/>
              <w:rPr>
                <w:lang w:eastAsia="zh-CN"/>
              </w:rPr>
            </w:pPr>
          </w:p>
        </w:tc>
        <w:tc>
          <w:tcPr>
            <w:tcW w:w="960" w:type="dxa"/>
            <w:tcBorders>
              <w:top w:val="nil"/>
              <w:left w:val="nil"/>
              <w:bottom w:val="nil"/>
              <w:right w:val="nil"/>
            </w:tcBorders>
            <w:shd w:val="clear" w:color="auto" w:fill="auto"/>
            <w:noWrap/>
            <w:vAlign w:val="bottom"/>
          </w:tcPr>
          <w:p w14:paraId="05DD576A" w14:textId="08B73EA8" w:rsidR="004678A8" w:rsidRPr="007E4BEF" w:rsidRDefault="004678A8" w:rsidP="002874AC">
            <w:pPr>
              <w:pStyle w:val="table2"/>
              <w:jc w:val="right"/>
              <w:rPr>
                <w:lang w:eastAsia="zh-CN"/>
              </w:rPr>
            </w:pPr>
          </w:p>
        </w:tc>
      </w:tr>
      <w:tr w:rsidR="004678A8" w:rsidRPr="007E4BEF" w14:paraId="187EF5AD" w14:textId="77777777" w:rsidTr="002874AC">
        <w:trPr>
          <w:trHeight w:val="300"/>
        </w:trPr>
        <w:tc>
          <w:tcPr>
            <w:tcW w:w="3417" w:type="dxa"/>
            <w:tcBorders>
              <w:top w:val="nil"/>
              <w:left w:val="nil"/>
              <w:bottom w:val="nil"/>
              <w:right w:val="nil"/>
            </w:tcBorders>
            <w:shd w:val="clear" w:color="auto" w:fill="auto"/>
            <w:noWrap/>
            <w:vAlign w:val="bottom"/>
            <w:hideMark/>
          </w:tcPr>
          <w:p w14:paraId="2249479B" w14:textId="77777777" w:rsidR="004678A8" w:rsidRPr="0083601F" w:rsidRDefault="004678A8" w:rsidP="002874AC">
            <w:pPr>
              <w:pStyle w:val="table2"/>
              <w:rPr>
                <w:i/>
                <w:lang w:eastAsia="zh-CN"/>
              </w:rPr>
            </w:pPr>
            <w:r w:rsidRPr="009269E8">
              <w:rPr>
                <w:i/>
                <w:lang w:eastAsia="zh-CN"/>
              </w:rPr>
              <w:t xml:space="preserve">   </w:t>
            </w:r>
            <w:r>
              <w:rPr>
                <w:i/>
                <w:lang w:eastAsia="zh-CN"/>
              </w:rPr>
              <w:t>Catholic</w:t>
            </w:r>
          </w:p>
        </w:tc>
        <w:tc>
          <w:tcPr>
            <w:tcW w:w="993" w:type="dxa"/>
            <w:tcBorders>
              <w:top w:val="nil"/>
              <w:left w:val="nil"/>
              <w:bottom w:val="nil"/>
              <w:right w:val="nil"/>
            </w:tcBorders>
            <w:shd w:val="clear" w:color="auto" w:fill="auto"/>
            <w:noWrap/>
            <w:vAlign w:val="bottom"/>
          </w:tcPr>
          <w:p w14:paraId="704CC7B1" w14:textId="68C9414B" w:rsidR="004678A8" w:rsidRPr="007E4BEF" w:rsidRDefault="004678A8"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4C95CEF5" w14:textId="70BE89CA" w:rsidR="004678A8" w:rsidRPr="007E4BEF" w:rsidRDefault="00B054B5" w:rsidP="002874AC">
            <w:pPr>
              <w:pStyle w:val="table2"/>
              <w:jc w:val="right"/>
              <w:rPr>
                <w:lang w:eastAsia="zh-CN"/>
              </w:rPr>
            </w:pPr>
            <w:r>
              <w:rPr>
                <w:lang w:eastAsia="zh-CN"/>
              </w:rPr>
              <w:t>0.491</w:t>
            </w:r>
          </w:p>
        </w:tc>
        <w:tc>
          <w:tcPr>
            <w:tcW w:w="1435" w:type="dxa"/>
            <w:tcBorders>
              <w:top w:val="nil"/>
              <w:left w:val="nil"/>
              <w:bottom w:val="nil"/>
              <w:right w:val="nil"/>
            </w:tcBorders>
            <w:shd w:val="clear" w:color="auto" w:fill="auto"/>
            <w:noWrap/>
            <w:vAlign w:val="bottom"/>
          </w:tcPr>
          <w:p w14:paraId="2A315802" w14:textId="517144FC" w:rsidR="004678A8" w:rsidRPr="007E4BEF" w:rsidRDefault="00B054B5" w:rsidP="002874AC">
            <w:pPr>
              <w:pStyle w:val="table2"/>
              <w:jc w:val="right"/>
              <w:rPr>
                <w:lang w:eastAsia="zh-CN"/>
              </w:rPr>
            </w:pPr>
            <w:r>
              <w:rPr>
                <w:lang w:eastAsia="zh-CN"/>
              </w:rPr>
              <w:t>0.500</w:t>
            </w:r>
          </w:p>
        </w:tc>
        <w:tc>
          <w:tcPr>
            <w:tcW w:w="960" w:type="dxa"/>
            <w:tcBorders>
              <w:top w:val="nil"/>
              <w:left w:val="nil"/>
              <w:bottom w:val="nil"/>
              <w:right w:val="nil"/>
            </w:tcBorders>
            <w:shd w:val="clear" w:color="auto" w:fill="auto"/>
            <w:noWrap/>
            <w:vAlign w:val="bottom"/>
          </w:tcPr>
          <w:p w14:paraId="420A17BF" w14:textId="68657E61" w:rsidR="004678A8" w:rsidRPr="007E4BEF" w:rsidRDefault="004678A8"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183DDE1E" w14:textId="18AE2BED" w:rsidR="004678A8" w:rsidRPr="007E4BEF" w:rsidRDefault="004678A8" w:rsidP="002874AC">
            <w:pPr>
              <w:pStyle w:val="table2"/>
              <w:jc w:val="right"/>
              <w:rPr>
                <w:lang w:eastAsia="zh-CN"/>
              </w:rPr>
            </w:pPr>
            <w:r w:rsidRPr="007E4BEF">
              <w:rPr>
                <w:lang w:eastAsia="zh-CN"/>
              </w:rPr>
              <w:t>1</w:t>
            </w:r>
          </w:p>
        </w:tc>
      </w:tr>
      <w:tr w:rsidR="004678A8" w:rsidRPr="007E4BEF" w14:paraId="395AFA6B" w14:textId="77777777" w:rsidTr="002874AC">
        <w:trPr>
          <w:trHeight w:val="300"/>
        </w:trPr>
        <w:tc>
          <w:tcPr>
            <w:tcW w:w="3417" w:type="dxa"/>
            <w:tcBorders>
              <w:top w:val="nil"/>
              <w:left w:val="nil"/>
              <w:right w:val="nil"/>
            </w:tcBorders>
            <w:shd w:val="clear" w:color="auto" w:fill="auto"/>
            <w:noWrap/>
            <w:vAlign w:val="bottom"/>
            <w:hideMark/>
          </w:tcPr>
          <w:p w14:paraId="59A399FB" w14:textId="77777777" w:rsidR="004678A8" w:rsidRPr="0083601F" w:rsidRDefault="004678A8" w:rsidP="002874AC">
            <w:pPr>
              <w:pStyle w:val="table2"/>
              <w:rPr>
                <w:i/>
                <w:lang w:eastAsia="zh-CN"/>
              </w:rPr>
            </w:pPr>
            <w:r w:rsidRPr="009269E8">
              <w:rPr>
                <w:i/>
                <w:lang w:eastAsia="zh-CN"/>
              </w:rPr>
              <w:t xml:space="preserve">   </w:t>
            </w:r>
            <w:r>
              <w:rPr>
                <w:i/>
                <w:lang w:eastAsia="zh-CN"/>
              </w:rPr>
              <w:t>Protestant</w:t>
            </w:r>
          </w:p>
        </w:tc>
        <w:tc>
          <w:tcPr>
            <w:tcW w:w="993" w:type="dxa"/>
            <w:tcBorders>
              <w:top w:val="nil"/>
              <w:left w:val="nil"/>
              <w:right w:val="nil"/>
            </w:tcBorders>
            <w:shd w:val="clear" w:color="auto" w:fill="auto"/>
            <w:noWrap/>
            <w:vAlign w:val="bottom"/>
          </w:tcPr>
          <w:p w14:paraId="74570B7F" w14:textId="0BDABBCE" w:rsidR="004678A8" w:rsidRPr="007E4BEF" w:rsidRDefault="004678A8"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right w:val="nil"/>
            </w:tcBorders>
            <w:shd w:val="clear" w:color="auto" w:fill="auto"/>
            <w:noWrap/>
            <w:vAlign w:val="bottom"/>
          </w:tcPr>
          <w:p w14:paraId="4A60F4C2" w14:textId="07EE5F3E" w:rsidR="004678A8" w:rsidRPr="007E4BEF" w:rsidRDefault="00B054B5" w:rsidP="002874AC">
            <w:pPr>
              <w:pStyle w:val="table2"/>
              <w:jc w:val="right"/>
              <w:rPr>
                <w:lang w:eastAsia="zh-CN"/>
              </w:rPr>
            </w:pPr>
            <w:r>
              <w:rPr>
                <w:lang w:eastAsia="zh-CN"/>
              </w:rPr>
              <w:t>0.446</w:t>
            </w:r>
          </w:p>
        </w:tc>
        <w:tc>
          <w:tcPr>
            <w:tcW w:w="1435" w:type="dxa"/>
            <w:tcBorders>
              <w:top w:val="nil"/>
              <w:left w:val="nil"/>
              <w:right w:val="nil"/>
            </w:tcBorders>
            <w:shd w:val="clear" w:color="auto" w:fill="auto"/>
            <w:noWrap/>
            <w:vAlign w:val="bottom"/>
          </w:tcPr>
          <w:p w14:paraId="049A866E" w14:textId="5F7A1404" w:rsidR="004678A8" w:rsidRPr="007E4BEF" w:rsidRDefault="00B054B5" w:rsidP="002874AC">
            <w:pPr>
              <w:pStyle w:val="table2"/>
              <w:jc w:val="right"/>
              <w:rPr>
                <w:lang w:eastAsia="zh-CN"/>
              </w:rPr>
            </w:pPr>
            <w:r>
              <w:rPr>
                <w:lang w:eastAsia="zh-CN"/>
              </w:rPr>
              <w:t>0.497</w:t>
            </w:r>
          </w:p>
        </w:tc>
        <w:tc>
          <w:tcPr>
            <w:tcW w:w="960" w:type="dxa"/>
            <w:tcBorders>
              <w:top w:val="nil"/>
              <w:left w:val="nil"/>
              <w:right w:val="nil"/>
            </w:tcBorders>
            <w:shd w:val="clear" w:color="auto" w:fill="auto"/>
            <w:noWrap/>
            <w:vAlign w:val="bottom"/>
          </w:tcPr>
          <w:p w14:paraId="3723D62B" w14:textId="6CD7F105" w:rsidR="004678A8" w:rsidRPr="007E4BEF" w:rsidRDefault="004678A8" w:rsidP="002874AC">
            <w:pPr>
              <w:pStyle w:val="table2"/>
              <w:jc w:val="right"/>
              <w:rPr>
                <w:lang w:eastAsia="zh-CN"/>
              </w:rPr>
            </w:pPr>
            <w:r w:rsidRPr="007E4BEF">
              <w:rPr>
                <w:lang w:eastAsia="zh-CN"/>
              </w:rPr>
              <w:t>0</w:t>
            </w:r>
          </w:p>
        </w:tc>
        <w:tc>
          <w:tcPr>
            <w:tcW w:w="960" w:type="dxa"/>
            <w:tcBorders>
              <w:top w:val="nil"/>
              <w:left w:val="nil"/>
              <w:right w:val="nil"/>
            </w:tcBorders>
            <w:shd w:val="clear" w:color="auto" w:fill="auto"/>
            <w:noWrap/>
            <w:vAlign w:val="bottom"/>
          </w:tcPr>
          <w:p w14:paraId="74DC0FE7" w14:textId="3346496C" w:rsidR="004678A8" w:rsidRPr="007E4BEF" w:rsidRDefault="004678A8" w:rsidP="002874AC">
            <w:pPr>
              <w:pStyle w:val="table2"/>
              <w:jc w:val="right"/>
              <w:rPr>
                <w:lang w:eastAsia="zh-CN"/>
              </w:rPr>
            </w:pPr>
            <w:r w:rsidRPr="007E4BEF">
              <w:rPr>
                <w:lang w:eastAsia="zh-CN"/>
              </w:rPr>
              <w:t>1</w:t>
            </w:r>
          </w:p>
        </w:tc>
      </w:tr>
      <w:tr w:rsidR="004678A8" w:rsidRPr="007E4BEF" w14:paraId="5AEFCA73" w14:textId="77777777" w:rsidTr="002874AC">
        <w:trPr>
          <w:trHeight w:val="300"/>
        </w:trPr>
        <w:tc>
          <w:tcPr>
            <w:tcW w:w="3417" w:type="dxa"/>
            <w:tcBorders>
              <w:top w:val="nil"/>
              <w:left w:val="nil"/>
              <w:bottom w:val="nil"/>
              <w:right w:val="nil"/>
            </w:tcBorders>
            <w:shd w:val="clear" w:color="auto" w:fill="auto"/>
            <w:noWrap/>
            <w:vAlign w:val="bottom"/>
            <w:hideMark/>
          </w:tcPr>
          <w:p w14:paraId="7245AB1E" w14:textId="77777777" w:rsidR="004678A8" w:rsidRPr="0083601F" w:rsidRDefault="004678A8" w:rsidP="002874AC">
            <w:pPr>
              <w:pStyle w:val="table2"/>
              <w:rPr>
                <w:i/>
                <w:lang w:eastAsia="zh-CN"/>
              </w:rPr>
            </w:pPr>
            <w:r w:rsidRPr="009269E8">
              <w:rPr>
                <w:i/>
                <w:lang w:eastAsia="zh-CN"/>
              </w:rPr>
              <w:t xml:space="preserve">   </w:t>
            </w:r>
            <w:r>
              <w:rPr>
                <w:i/>
                <w:lang w:eastAsia="zh-CN"/>
              </w:rPr>
              <w:t>Other</w:t>
            </w:r>
          </w:p>
        </w:tc>
        <w:tc>
          <w:tcPr>
            <w:tcW w:w="993" w:type="dxa"/>
            <w:tcBorders>
              <w:top w:val="nil"/>
              <w:left w:val="nil"/>
              <w:bottom w:val="nil"/>
              <w:right w:val="nil"/>
            </w:tcBorders>
            <w:shd w:val="clear" w:color="auto" w:fill="auto"/>
            <w:noWrap/>
            <w:vAlign w:val="bottom"/>
          </w:tcPr>
          <w:p w14:paraId="75C28C57" w14:textId="61639457" w:rsidR="004678A8" w:rsidRPr="007E4BEF" w:rsidRDefault="004678A8"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tcPr>
          <w:p w14:paraId="438EDBC4" w14:textId="17522DE0" w:rsidR="004678A8" w:rsidRPr="007E4BEF" w:rsidRDefault="00B054B5" w:rsidP="002874AC">
            <w:pPr>
              <w:pStyle w:val="table2"/>
              <w:jc w:val="right"/>
              <w:rPr>
                <w:lang w:eastAsia="zh-CN"/>
              </w:rPr>
            </w:pPr>
            <w:r>
              <w:rPr>
                <w:lang w:eastAsia="zh-CN"/>
              </w:rPr>
              <w:t>0.063</w:t>
            </w:r>
          </w:p>
        </w:tc>
        <w:tc>
          <w:tcPr>
            <w:tcW w:w="1435" w:type="dxa"/>
            <w:tcBorders>
              <w:top w:val="nil"/>
              <w:left w:val="nil"/>
              <w:bottom w:val="nil"/>
              <w:right w:val="nil"/>
            </w:tcBorders>
            <w:shd w:val="clear" w:color="auto" w:fill="auto"/>
            <w:noWrap/>
            <w:vAlign w:val="bottom"/>
          </w:tcPr>
          <w:p w14:paraId="5A91D946" w14:textId="6AEE7EF1" w:rsidR="004678A8" w:rsidRPr="007E4BEF" w:rsidRDefault="00B054B5" w:rsidP="002874AC">
            <w:pPr>
              <w:pStyle w:val="table2"/>
              <w:jc w:val="right"/>
              <w:rPr>
                <w:lang w:eastAsia="zh-CN"/>
              </w:rPr>
            </w:pPr>
            <w:r>
              <w:rPr>
                <w:lang w:eastAsia="zh-CN"/>
              </w:rPr>
              <w:t>0.243</w:t>
            </w:r>
          </w:p>
        </w:tc>
        <w:tc>
          <w:tcPr>
            <w:tcW w:w="960" w:type="dxa"/>
            <w:tcBorders>
              <w:top w:val="nil"/>
              <w:left w:val="nil"/>
              <w:bottom w:val="nil"/>
              <w:right w:val="nil"/>
            </w:tcBorders>
            <w:shd w:val="clear" w:color="auto" w:fill="auto"/>
            <w:noWrap/>
            <w:vAlign w:val="bottom"/>
          </w:tcPr>
          <w:p w14:paraId="284941ED" w14:textId="2A7B90C6" w:rsidR="004678A8" w:rsidRPr="007E4BEF" w:rsidRDefault="004678A8"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tcPr>
          <w:p w14:paraId="1D72DF5E" w14:textId="616DBBEB" w:rsidR="004678A8" w:rsidRPr="007E4BEF" w:rsidRDefault="004678A8" w:rsidP="002874AC">
            <w:pPr>
              <w:pStyle w:val="table2"/>
              <w:jc w:val="right"/>
              <w:rPr>
                <w:lang w:eastAsia="zh-CN"/>
              </w:rPr>
            </w:pPr>
            <w:r w:rsidRPr="007E4BEF">
              <w:rPr>
                <w:lang w:eastAsia="zh-CN"/>
              </w:rPr>
              <w:t>1</w:t>
            </w:r>
          </w:p>
        </w:tc>
      </w:tr>
      <w:tr w:rsidR="004678A8" w:rsidRPr="007E4BEF" w14:paraId="10BB02FB" w14:textId="77777777" w:rsidTr="00004B48">
        <w:trPr>
          <w:trHeight w:val="300"/>
        </w:trPr>
        <w:tc>
          <w:tcPr>
            <w:tcW w:w="3417" w:type="dxa"/>
            <w:tcBorders>
              <w:left w:val="nil"/>
              <w:bottom w:val="nil"/>
              <w:right w:val="nil"/>
            </w:tcBorders>
            <w:shd w:val="clear" w:color="auto" w:fill="auto"/>
            <w:noWrap/>
            <w:vAlign w:val="bottom"/>
            <w:hideMark/>
          </w:tcPr>
          <w:p w14:paraId="3A13FFC1" w14:textId="4F77D0E6" w:rsidR="004678A8" w:rsidRPr="0083601F" w:rsidRDefault="004678A8" w:rsidP="002874AC">
            <w:pPr>
              <w:pStyle w:val="table2"/>
              <w:rPr>
                <w:bCs/>
                <w:lang w:eastAsia="zh-CN"/>
              </w:rPr>
            </w:pPr>
            <w:r>
              <w:rPr>
                <w:bCs/>
                <w:lang w:eastAsia="zh-CN"/>
              </w:rPr>
              <w:t>T</w:t>
            </w:r>
            <w:r w:rsidRPr="009269E8">
              <w:rPr>
                <w:bCs/>
                <w:lang w:eastAsia="zh-CN"/>
              </w:rPr>
              <w:t>erritory of residence</w:t>
            </w:r>
          </w:p>
        </w:tc>
        <w:tc>
          <w:tcPr>
            <w:tcW w:w="993" w:type="dxa"/>
            <w:tcBorders>
              <w:left w:val="nil"/>
              <w:bottom w:val="nil"/>
              <w:right w:val="nil"/>
            </w:tcBorders>
            <w:shd w:val="clear" w:color="auto" w:fill="auto"/>
            <w:noWrap/>
            <w:vAlign w:val="bottom"/>
          </w:tcPr>
          <w:p w14:paraId="2C4770E5" w14:textId="2848FA2A" w:rsidR="004678A8" w:rsidRPr="007E4BEF" w:rsidRDefault="004678A8" w:rsidP="002874AC">
            <w:pPr>
              <w:pStyle w:val="table2"/>
              <w:jc w:val="right"/>
              <w:rPr>
                <w:lang w:eastAsia="zh-CN"/>
              </w:rPr>
            </w:pPr>
          </w:p>
        </w:tc>
        <w:tc>
          <w:tcPr>
            <w:tcW w:w="1275" w:type="dxa"/>
            <w:tcBorders>
              <w:left w:val="nil"/>
              <w:bottom w:val="nil"/>
              <w:right w:val="nil"/>
            </w:tcBorders>
            <w:shd w:val="clear" w:color="auto" w:fill="auto"/>
            <w:noWrap/>
            <w:vAlign w:val="bottom"/>
          </w:tcPr>
          <w:p w14:paraId="4BC2DC9B" w14:textId="77777777" w:rsidR="004678A8" w:rsidRPr="007E4BEF" w:rsidRDefault="004678A8" w:rsidP="002874AC">
            <w:pPr>
              <w:pStyle w:val="table2"/>
              <w:jc w:val="right"/>
              <w:rPr>
                <w:lang w:eastAsia="zh-CN"/>
              </w:rPr>
            </w:pPr>
          </w:p>
        </w:tc>
        <w:tc>
          <w:tcPr>
            <w:tcW w:w="1435" w:type="dxa"/>
            <w:tcBorders>
              <w:left w:val="nil"/>
              <w:bottom w:val="nil"/>
              <w:right w:val="nil"/>
            </w:tcBorders>
            <w:shd w:val="clear" w:color="auto" w:fill="auto"/>
            <w:noWrap/>
            <w:vAlign w:val="bottom"/>
            <w:hideMark/>
          </w:tcPr>
          <w:p w14:paraId="0D95F0DE" w14:textId="77777777" w:rsidR="004678A8" w:rsidRPr="007E4BEF" w:rsidRDefault="004678A8" w:rsidP="002874AC">
            <w:pPr>
              <w:pStyle w:val="table2"/>
              <w:jc w:val="right"/>
              <w:rPr>
                <w:lang w:eastAsia="zh-CN"/>
              </w:rPr>
            </w:pPr>
          </w:p>
        </w:tc>
        <w:tc>
          <w:tcPr>
            <w:tcW w:w="960" w:type="dxa"/>
            <w:tcBorders>
              <w:left w:val="nil"/>
              <w:bottom w:val="nil"/>
              <w:right w:val="nil"/>
            </w:tcBorders>
            <w:shd w:val="clear" w:color="auto" w:fill="auto"/>
            <w:noWrap/>
            <w:vAlign w:val="bottom"/>
          </w:tcPr>
          <w:p w14:paraId="4C461DDC" w14:textId="7A58526A" w:rsidR="004678A8" w:rsidRPr="007E4BEF" w:rsidRDefault="004678A8" w:rsidP="002874AC">
            <w:pPr>
              <w:pStyle w:val="table2"/>
              <w:jc w:val="right"/>
              <w:rPr>
                <w:lang w:eastAsia="zh-CN"/>
              </w:rPr>
            </w:pPr>
          </w:p>
        </w:tc>
        <w:tc>
          <w:tcPr>
            <w:tcW w:w="960" w:type="dxa"/>
            <w:tcBorders>
              <w:left w:val="nil"/>
              <w:bottom w:val="nil"/>
              <w:right w:val="nil"/>
            </w:tcBorders>
            <w:shd w:val="clear" w:color="auto" w:fill="auto"/>
            <w:noWrap/>
            <w:vAlign w:val="bottom"/>
          </w:tcPr>
          <w:p w14:paraId="38F45704" w14:textId="5BE1A3DE" w:rsidR="004678A8" w:rsidRPr="007E4BEF" w:rsidRDefault="004678A8" w:rsidP="002874AC">
            <w:pPr>
              <w:pStyle w:val="table2"/>
              <w:jc w:val="right"/>
              <w:rPr>
                <w:lang w:eastAsia="zh-CN"/>
              </w:rPr>
            </w:pPr>
          </w:p>
        </w:tc>
      </w:tr>
      <w:tr w:rsidR="00A9774A" w:rsidRPr="007E4BEF" w14:paraId="54F27F2B" w14:textId="77777777" w:rsidTr="002874AC">
        <w:trPr>
          <w:trHeight w:val="300"/>
        </w:trPr>
        <w:tc>
          <w:tcPr>
            <w:tcW w:w="3417" w:type="dxa"/>
            <w:tcBorders>
              <w:top w:val="nil"/>
              <w:left w:val="nil"/>
              <w:bottom w:val="nil"/>
              <w:right w:val="nil"/>
            </w:tcBorders>
            <w:shd w:val="clear" w:color="auto" w:fill="auto"/>
            <w:noWrap/>
            <w:vAlign w:val="bottom"/>
            <w:hideMark/>
          </w:tcPr>
          <w:p w14:paraId="716E1872" w14:textId="77777777" w:rsidR="00A9774A" w:rsidRPr="0083601F" w:rsidRDefault="00A9774A" w:rsidP="002874AC">
            <w:pPr>
              <w:pStyle w:val="table2"/>
              <w:rPr>
                <w:i/>
                <w:lang w:eastAsia="zh-CN"/>
              </w:rPr>
            </w:pPr>
            <w:r w:rsidRPr="009269E8">
              <w:rPr>
                <w:i/>
                <w:lang w:eastAsia="zh-CN"/>
              </w:rPr>
              <w:t xml:space="preserve">   Kalehe</w:t>
            </w:r>
          </w:p>
        </w:tc>
        <w:tc>
          <w:tcPr>
            <w:tcW w:w="993" w:type="dxa"/>
            <w:tcBorders>
              <w:top w:val="nil"/>
              <w:left w:val="nil"/>
              <w:bottom w:val="nil"/>
              <w:right w:val="nil"/>
            </w:tcBorders>
            <w:shd w:val="clear" w:color="auto" w:fill="auto"/>
            <w:noWrap/>
            <w:vAlign w:val="bottom"/>
            <w:hideMark/>
          </w:tcPr>
          <w:p w14:paraId="27ACAF46"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26CCCC73" w14:textId="77777777" w:rsidR="00A9774A" w:rsidRPr="007E4BEF" w:rsidRDefault="00A9774A" w:rsidP="002874AC">
            <w:pPr>
              <w:pStyle w:val="table2"/>
              <w:jc w:val="right"/>
              <w:rPr>
                <w:lang w:eastAsia="zh-CN"/>
              </w:rPr>
            </w:pPr>
            <w:r w:rsidRPr="007E4BEF">
              <w:rPr>
                <w:lang w:eastAsia="zh-CN"/>
              </w:rPr>
              <w:t>0.196</w:t>
            </w:r>
          </w:p>
        </w:tc>
        <w:tc>
          <w:tcPr>
            <w:tcW w:w="1435" w:type="dxa"/>
            <w:tcBorders>
              <w:top w:val="nil"/>
              <w:left w:val="nil"/>
              <w:bottom w:val="nil"/>
              <w:right w:val="nil"/>
            </w:tcBorders>
            <w:shd w:val="clear" w:color="auto" w:fill="auto"/>
            <w:noWrap/>
            <w:vAlign w:val="bottom"/>
            <w:hideMark/>
          </w:tcPr>
          <w:p w14:paraId="19CC1E36" w14:textId="77777777" w:rsidR="00A9774A" w:rsidRPr="007E4BEF" w:rsidRDefault="00A9774A" w:rsidP="002874AC">
            <w:pPr>
              <w:pStyle w:val="table2"/>
              <w:jc w:val="right"/>
              <w:rPr>
                <w:lang w:eastAsia="zh-CN"/>
              </w:rPr>
            </w:pPr>
            <w:r w:rsidRPr="007E4BEF">
              <w:rPr>
                <w:lang w:eastAsia="zh-CN"/>
              </w:rPr>
              <w:t>0.397</w:t>
            </w:r>
          </w:p>
        </w:tc>
        <w:tc>
          <w:tcPr>
            <w:tcW w:w="960" w:type="dxa"/>
            <w:tcBorders>
              <w:top w:val="nil"/>
              <w:left w:val="nil"/>
              <w:bottom w:val="nil"/>
              <w:right w:val="nil"/>
            </w:tcBorders>
            <w:shd w:val="clear" w:color="auto" w:fill="auto"/>
            <w:noWrap/>
            <w:vAlign w:val="bottom"/>
            <w:hideMark/>
          </w:tcPr>
          <w:p w14:paraId="46AFCD91"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616E063F" w14:textId="77777777" w:rsidR="00A9774A" w:rsidRPr="007E4BEF" w:rsidRDefault="00A9774A" w:rsidP="002874AC">
            <w:pPr>
              <w:pStyle w:val="table2"/>
              <w:jc w:val="right"/>
              <w:rPr>
                <w:lang w:eastAsia="zh-CN"/>
              </w:rPr>
            </w:pPr>
            <w:r w:rsidRPr="007E4BEF">
              <w:rPr>
                <w:lang w:eastAsia="zh-CN"/>
              </w:rPr>
              <w:t>1</w:t>
            </w:r>
          </w:p>
        </w:tc>
      </w:tr>
      <w:tr w:rsidR="00A9774A" w:rsidRPr="007E4BEF" w14:paraId="09FA696C" w14:textId="77777777" w:rsidTr="002874AC">
        <w:trPr>
          <w:trHeight w:val="300"/>
        </w:trPr>
        <w:tc>
          <w:tcPr>
            <w:tcW w:w="3417" w:type="dxa"/>
            <w:tcBorders>
              <w:top w:val="nil"/>
              <w:left w:val="nil"/>
              <w:bottom w:val="nil"/>
              <w:right w:val="nil"/>
            </w:tcBorders>
            <w:shd w:val="clear" w:color="auto" w:fill="auto"/>
            <w:noWrap/>
            <w:vAlign w:val="bottom"/>
            <w:hideMark/>
          </w:tcPr>
          <w:p w14:paraId="76057E1E" w14:textId="77777777" w:rsidR="00A9774A" w:rsidRPr="0083601F" w:rsidRDefault="00A9774A" w:rsidP="002874AC">
            <w:pPr>
              <w:pStyle w:val="table2"/>
              <w:rPr>
                <w:i/>
                <w:lang w:eastAsia="zh-CN"/>
              </w:rPr>
            </w:pPr>
            <w:r w:rsidRPr="009269E8">
              <w:rPr>
                <w:i/>
                <w:lang w:eastAsia="zh-CN"/>
              </w:rPr>
              <w:t xml:space="preserve">   Walungu</w:t>
            </w:r>
          </w:p>
        </w:tc>
        <w:tc>
          <w:tcPr>
            <w:tcW w:w="993" w:type="dxa"/>
            <w:tcBorders>
              <w:top w:val="nil"/>
              <w:left w:val="nil"/>
              <w:bottom w:val="nil"/>
              <w:right w:val="nil"/>
            </w:tcBorders>
            <w:shd w:val="clear" w:color="auto" w:fill="auto"/>
            <w:noWrap/>
            <w:vAlign w:val="bottom"/>
            <w:hideMark/>
          </w:tcPr>
          <w:p w14:paraId="4BC43B82"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422BD8BF" w14:textId="77777777" w:rsidR="00A9774A" w:rsidRPr="007E4BEF" w:rsidRDefault="00A9774A" w:rsidP="002874AC">
            <w:pPr>
              <w:pStyle w:val="table2"/>
              <w:jc w:val="right"/>
              <w:rPr>
                <w:lang w:eastAsia="zh-CN"/>
              </w:rPr>
            </w:pPr>
            <w:r w:rsidRPr="007E4BEF">
              <w:rPr>
                <w:lang w:eastAsia="zh-CN"/>
              </w:rPr>
              <w:t>0.103</w:t>
            </w:r>
          </w:p>
        </w:tc>
        <w:tc>
          <w:tcPr>
            <w:tcW w:w="1435" w:type="dxa"/>
            <w:tcBorders>
              <w:top w:val="nil"/>
              <w:left w:val="nil"/>
              <w:bottom w:val="nil"/>
              <w:right w:val="nil"/>
            </w:tcBorders>
            <w:shd w:val="clear" w:color="auto" w:fill="auto"/>
            <w:noWrap/>
            <w:vAlign w:val="bottom"/>
            <w:hideMark/>
          </w:tcPr>
          <w:p w14:paraId="2726EE28" w14:textId="77777777" w:rsidR="00A9774A" w:rsidRPr="007E4BEF" w:rsidRDefault="00A9774A" w:rsidP="002874AC">
            <w:pPr>
              <w:pStyle w:val="table2"/>
              <w:jc w:val="right"/>
              <w:rPr>
                <w:lang w:eastAsia="zh-CN"/>
              </w:rPr>
            </w:pPr>
            <w:r w:rsidRPr="007E4BEF">
              <w:rPr>
                <w:lang w:eastAsia="zh-CN"/>
              </w:rPr>
              <w:t>0.305</w:t>
            </w:r>
          </w:p>
        </w:tc>
        <w:tc>
          <w:tcPr>
            <w:tcW w:w="960" w:type="dxa"/>
            <w:tcBorders>
              <w:top w:val="nil"/>
              <w:left w:val="nil"/>
              <w:bottom w:val="nil"/>
              <w:right w:val="nil"/>
            </w:tcBorders>
            <w:shd w:val="clear" w:color="auto" w:fill="auto"/>
            <w:noWrap/>
            <w:vAlign w:val="bottom"/>
            <w:hideMark/>
          </w:tcPr>
          <w:p w14:paraId="1B8B350C"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467ECFE5" w14:textId="77777777" w:rsidR="00A9774A" w:rsidRPr="007E4BEF" w:rsidRDefault="00A9774A" w:rsidP="002874AC">
            <w:pPr>
              <w:pStyle w:val="table2"/>
              <w:jc w:val="right"/>
              <w:rPr>
                <w:lang w:eastAsia="zh-CN"/>
              </w:rPr>
            </w:pPr>
            <w:r w:rsidRPr="007E4BEF">
              <w:rPr>
                <w:lang w:eastAsia="zh-CN"/>
              </w:rPr>
              <w:t>1</w:t>
            </w:r>
          </w:p>
        </w:tc>
      </w:tr>
      <w:tr w:rsidR="00A9774A" w:rsidRPr="007E4BEF" w14:paraId="3A165223" w14:textId="77777777" w:rsidTr="002874AC">
        <w:trPr>
          <w:trHeight w:val="300"/>
        </w:trPr>
        <w:tc>
          <w:tcPr>
            <w:tcW w:w="3417" w:type="dxa"/>
            <w:tcBorders>
              <w:top w:val="nil"/>
              <w:left w:val="nil"/>
              <w:bottom w:val="nil"/>
              <w:right w:val="nil"/>
            </w:tcBorders>
            <w:shd w:val="clear" w:color="auto" w:fill="auto"/>
            <w:noWrap/>
            <w:vAlign w:val="bottom"/>
            <w:hideMark/>
          </w:tcPr>
          <w:p w14:paraId="66AB16EB" w14:textId="77777777" w:rsidR="00A9774A" w:rsidRPr="0083601F" w:rsidRDefault="00A9774A" w:rsidP="002874AC">
            <w:pPr>
              <w:pStyle w:val="table2"/>
              <w:rPr>
                <w:i/>
                <w:lang w:eastAsia="zh-CN"/>
              </w:rPr>
            </w:pPr>
            <w:r w:rsidRPr="009269E8">
              <w:rPr>
                <w:i/>
                <w:lang w:eastAsia="zh-CN"/>
              </w:rPr>
              <w:t xml:space="preserve">   Kabare</w:t>
            </w:r>
          </w:p>
        </w:tc>
        <w:tc>
          <w:tcPr>
            <w:tcW w:w="993" w:type="dxa"/>
            <w:tcBorders>
              <w:top w:val="nil"/>
              <w:left w:val="nil"/>
              <w:bottom w:val="nil"/>
              <w:right w:val="nil"/>
            </w:tcBorders>
            <w:shd w:val="clear" w:color="auto" w:fill="auto"/>
            <w:noWrap/>
            <w:vAlign w:val="bottom"/>
            <w:hideMark/>
          </w:tcPr>
          <w:p w14:paraId="4C9B2889"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nil"/>
              <w:right w:val="nil"/>
            </w:tcBorders>
            <w:shd w:val="clear" w:color="auto" w:fill="auto"/>
            <w:noWrap/>
            <w:vAlign w:val="bottom"/>
            <w:hideMark/>
          </w:tcPr>
          <w:p w14:paraId="776EF093" w14:textId="77777777" w:rsidR="00A9774A" w:rsidRPr="007E4BEF" w:rsidRDefault="00A9774A" w:rsidP="002874AC">
            <w:pPr>
              <w:pStyle w:val="table2"/>
              <w:jc w:val="right"/>
              <w:rPr>
                <w:lang w:eastAsia="zh-CN"/>
              </w:rPr>
            </w:pPr>
            <w:r w:rsidRPr="007E4BEF">
              <w:rPr>
                <w:lang w:eastAsia="zh-CN"/>
              </w:rPr>
              <w:t>0.200</w:t>
            </w:r>
          </w:p>
        </w:tc>
        <w:tc>
          <w:tcPr>
            <w:tcW w:w="1435" w:type="dxa"/>
            <w:tcBorders>
              <w:top w:val="nil"/>
              <w:left w:val="nil"/>
              <w:bottom w:val="nil"/>
              <w:right w:val="nil"/>
            </w:tcBorders>
            <w:shd w:val="clear" w:color="auto" w:fill="auto"/>
            <w:noWrap/>
            <w:vAlign w:val="bottom"/>
            <w:hideMark/>
          </w:tcPr>
          <w:p w14:paraId="76102B50" w14:textId="77777777" w:rsidR="00A9774A" w:rsidRPr="007E4BEF" w:rsidRDefault="00A9774A" w:rsidP="002874AC">
            <w:pPr>
              <w:pStyle w:val="table2"/>
              <w:jc w:val="right"/>
              <w:rPr>
                <w:lang w:eastAsia="zh-CN"/>
              </w:rPr>
            </w:pPr>
            <w:r w:rsidRPr="007E4BEF">
              <w:rPr>
                <w:lang w:eastAsia="zh-CN"/>
              </w:rPr>
              <w:t>0.400</w:t>
            </w:r>
          </w:p>
        </w:tc>
        <w:tc>
          <w:tcPr>
            <w:tcW w:w="960" w:type="dxa"/>
            <w:tcBorders>
              <w:top w:val="nil"/>
              <w:left w:val="nil"/>
              <w:bottom w:val="nil"/>
              <w:right w:val="nil"/>
            </w:tcBorders>
            <w:shd w:val="clear" w:color="auto" w:fill="auto"/>
            <w:noWrap/>
            <w:vAlign w:val="bottom"/>
            <w:hideMark/>
          </w:tcPr>
          <w:p w14:paraId="655A9C43"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nil"/>
              <w:right w:val="nil"/>
            </w:tcBorders>
            <w:shd w:val="clear" w:color="auto" w:fill="auto"/>
            <w:noWrap/>
            <w:vAlign w:val="bottom"/>
            <w:hideMark/>
          </w:tcPr>
          <w:p w14:paraId="6029AE73" w14:textId="77777777" w:rsidR="00A9774A" w:rsidRPr="007E4BEF" w:rsidRDefault="00A9774A" w:rsidP="002874AC">
            <w:pPr>
              <w:pStyle w:val="table2"/>
              <w:jc w:val="right"/>
              <w:rPr>
                <w:lang w:eastAsia="zh-CN"/>
              </w:rPr>
            </w:pPr>
            <w:r w:rsidRPr="007E4BEF">
              <w:rPr>
                <w:lang w:eastAsia="zh-CN"/>
              </w:rPr>
              <w:t>1</w:t>
            </w:r>
          </w:p>
        </w:tc>
      </w:tr>
      <w:tr w:rsidR="00A9774A" w:rsidRPr="007E4BEF" w14:paraId="1E6DE7AE" w14:textId="77777777" w:rsidTr="00004B48">
        <w:trPr>
          <w:trHeight w:val="300"/>
        </w:trPr>
        <w:tc>
          <w:tcPr>
            <w:tcW w:w="3417" w:type="dxa"/>
            <w:tcBorders>
              <w:top w:val="nil"/>
              <w:left w:val="nil"/>
              <w:right w:val="nil"/>
            </w:tcBorders>
            <w:shd w:val="clear" w:color="auto" w:fill="auto"/>
            <w:noWrap/>
            <w:vAlign w:val="bottom"/>
            <w:hideMark/>
          </w:tcPr>
          <w:p w14:paraId="0559D2D3" w14:textId="77777777" w:rsidR="00A9774A" w:rsidRPr="0083601F" w:rsidRDefault="00A9774A" w:rsidP="002874AC">
            <w:pPr>
              <w:pStyle w:val="table2"/>
              <w:rPr>
                <w:i/>
                <w:lang w:eastAsia="zh-CN"/>
              </w:rPr>
            </w:pPr>
            <w:r w:rsidRPr="009269E8">
              <w:rPr>
                <w:i/>
                <w:lang w:eastAsia="zh-CN"/>
              </w:rPr>
              <w:t xml:space="preserve">   Mwenga</w:t>
            </w:r>
          </w:p>
        </w:tc>
        <w:tc>
          <w:tcPr>
            <w:tcW w:w="993" w:type="dxa"/>
            <w:tcBorders>
              <w:top w:val="nil"/>
              <w:left w:val="nil"/>
              <w:right w:val="nil"/>
            </w:tcBorders>
            <w:shd w:val="clear" w:color="auto" w:fill="auto"/>
            <w:noWrap/>
            <w:vAlign w:val="bottom"/>
            <w:hideMark/>
          </w:tcPr>
          <w:p w14:paraId="61F98E6A"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right w:val="nil"/>
            </w:tcBorders>
            <w:shd w:val="clear" w:color="auto" w:fill="auto"/>
            <w:noWrap/>
            <w:vAlign w:val="bottom"/>
            <w:hideMark/>
          </w:tcPr>
          <w:p w14:paraId="3DD96754" w14:textId="77777777" w:rsidR="00A9774A" w:rsidRPr="007E4BEF" w:rsidRDefault="00A9774A" w:rsidP="002874AC">
            <w:pPr>
              <w:pStyle w:val="table2"/>
              <w:jc w:val="right"/>
              <w:rPr>
                <w:lang w:eastAsia="zh-CN"/>
              </w:rPr>
            </w:pPr>
            <w:r w:rsidRPr="007E4BEF">
              <w:rPr>
                <w:lang w:eastAsia="zh-CN"/>
              </w:rPr>
              <w:t>0.489</w:t>
            </w:r>
          </w:p>
        </w:tc>
        <w:tc>
          <w:tcPr>
            <w:tcW w:w="1435" w:type="dxa"/>
            <w:tcBorders>
              <w:top w:val="nil"/>
              <w:left w:val="nil"/>
              <w:right w:val="nil"/>
            </w:tcBorders>
            <w:shd w:val="clear" w:color="auto" w:fill="auto"/>
            <w:noWrap/>
            <w:vAlign w:val="bottom"/>
            <w:hideMark/>
          </w:tcPr>
          <w:p w14:paraId="585DCDCB" w14:textId="77777777" w:rsidR="00A9774A" w:rsidRPr="007E4BEF" w:rsidRDefault="00A9774A" w:rsidP="002874AC">
            <w:pPr>
              <w:pStyle w:val="table2"/>
              <w:jc w:val="right"/>
              <w:rPr>
                <w:lang w:eastAsia="zh-CN"/>
              </w:rPr>
            </w:pPr>
            <w:r w:rsidRPr="007E4BEF">
              <w:rPr>
                <w:lang w:eastAsia="zh-CN"/>
              </w:rPr>
              <w:t>0.500</w:t>
            </w:r>
          </w:p>
        </w:tc>
        <w:tc>
          <w:tcPr>
            <w:tcW w:w="960" w:type="dxa"/>
            <w:tcBorders>
              <w:top w:val="nil"/>
              <w:left w:val="nil"/>
              <w:right w:val="nil"/>
            </w:tcBorders>
            <w:shd w:val="clear" w:color="auto" w:fill="auto"/>
            <w:noWrap/>
            <w:vAlign w:val="bottom"/>
            <w:hideMark/>
          </w:tcPr>
          <w:p w14:paraId="21ACBB24"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right w:val="nil"/>
            </w:tcBorders>
            <w:shd w:val="clear" w:color="auto" w:fill="auto"/>
            <w:noWrap/>
            <w:vAlign w:val="bottom"/>
            <w:hideMark/>
          </w:tcPr>
          <w:p w14:paraId="7A94181C" w14:textId="77777777" w:rsidR="00A9774A" w:rsidRPr="007E4BEF" w:rsidRDefault="00A9774A" w:rsidP="002874AC">
            <w:pPr>
              <w:pStyle w:val="table2"/>
              <w:jc w:val="right"/>
              <w:rPr>
                <w:lang w:eastAsia="zh-CN"/>
              </w:rPr>
            </w:pPr>
            <w:r w:rsidRPr="007E4BEF">
              <w:rPr>
                <w:lang w:eastAsia="zh-CN"/>
              </w:rPr>
              <w:t>1</w:t>
            </w:r>
          </w:p>
        </w:tc>
      </w:tr>
      <w:tr w:rsidR="00A9774A" w:rsidRPr="007E4BEF" w14:paraId="41287634" w14:textId="77777777" w:rsidTr="00004B48">
        <w:trPr>
          <w:trHeight w:val="300"/>
        </w:trPr>
        <w:tc>
          <w:tcPr>
            <w:tcW w:w="3417" w:type="dxa"/>
            <w:tcBorders>
              <w:top w:val="nil"/>
              <w:left w:val="nil"/>
              <w:bottom w:val="single" w:sz="4" w:space="0" w:color="auto"/>
              <w:right w:val="nil"/>
            </w:tcBorders>
            <w:shd w:val="clear" w:color="auto" w:fill="auto"/>
            <w:noWrap/>
            <w:vAlign w:val="bottom"/>
            <w:hideMark/>
          </w:tcPr>
          <w:p w14:paraId="795DBB46" w14:textId="77777777" w:rsidR="00A9774A" w:rsidRPr="0083601F" w:rsidRDefault="00A9774A" w:rsidP="002874AC">
            <w:pPr>
              <w:pStyle w:val="table2"/>
              <w:rPr>
                <w:i/>
                <w:lang w:eastAsia="zh-CN"/>
              </w:rPr>
            </w:pPr>
            <w:r w:rsidRPr="009269E8">
              <w:rPr>
                <w:i/>
                <w:lang w:eastAsia="zh-CN"/>
              </w:rPr>
              <w:t xml:space="preserve">   Uvira</w:t>
            </w:r>
          </w:p>
        </w:tc>
        <w:tc>
          <w:tcPr>
            <w:tcW w:w="993" w:type="dxa"/>
            <w:tcBorders>
              <w:top w:val="nil"/>
              <w:left w:val="nil"/>
              <w:bottom w:val="single" w:sz="4" w:space="0" w:color="auto"/>
              <w:right w:val="nil"/>
            </w:tcBorders>
            <w:shd w:val="clear" w:color="auto" w:fill="auto"/>
            <w:noWrap/>
            <w:vAlign w:val="bottom"/>
            <w:hideMark/>
          </w:tcPr>
          <w:p w14:paraId="1BE66E0F" w14:textId="77777777" w:rsidR="00A9774A" w:rsidRPr="007E4BEF" w:rsidRDefault="00A9774A" w:rsidP="002874AC">
            <w:pPr>
              <w:pStyle w:val="table2"/>
              <w:jc w:val="right"/>
              <w:rPr>
                <w:lang w:eastAsia="zh-CN"/>
              </w:rPr>
            </w:pPr>
            <w:r w:rsidRPr="007E4BEF">
              <w:rPr>
                <w:lang w:eastAsia="zh-CN"/>
              </w:rPr>
              <w:t>1</w:t>
            </w:r>
            <w:r>
              <w:rPr>
                <w:lang w:eastAsia="zh-CN"/>
              </w:rPr>
              <w:t>,</w:t>
            </w:r>
            <w:r w:rsidRPr="007E4BEF">
              <w:rPr>
                <w:lang w:eastAsia="zh-CN"/>
              </w:rPr>
              <w:t>092</w:t>
            </w:r>
          </w:p>
        </w:tc>
        <w:tc>
          <w:tcPr>
            <w:tcW w:w="1275" w:type="dxa"/>
            <w:tcBorders>
              <w:top w:val="nil"/>
              <w:left w:val="nil"/>
              <w:bottom w:val="single" w:sz="4" w:space="0" w:color="auto"/>
              <w:right w:val="nil"/>
            </w:tcBorders>
            <w:shd w:val="clear" w:color="auto" w:fill="auto"/>
            <w:noWrap/>
            <w:vAlign w:val="bottom"/>
            <w:hideMark/>
          </w:tcPr>
          <w:p w14:paraId="7218F210" w14:textId="77777777" w:rsidR="00A9774A" w:rsidRPr="007E4BEF" w:rsidRDefault="00A9774A" w:rsidP="002874AC">
            <w:pPr>
              <w:pStyle w:val="table2"/>
              <w:jc w:val="right"/>
              <w:rPr>
                <w:lang w:eastAsia="zh-CN"/>
              </w:rPr>
            </w:pPr>
            <w:r w:rsidRPr="007E4BEF">
              <w:rPr>
                <w:lang w:eastAsia="zh-CN"/>
              </w:rPr>
              <w:t>0.012</w:t>
            </w:r>
          </w:p>
        </w:tc>
        <w:tc>
          <w:tcPr>
            <w:tcW w:w="1435" w:type="dxa"/>
            <w:tcBorders>
              <w:top w:val="nil"/>
              <w:left w:val="nil"/>
              <w:bottom w:val="single" w:sz="4" w:space="0" w:color="auto"/>
              <w:right w:val="nil"/>
            </w:tcBorders>
            <w:shd w:val="clear" w:color="auto" w:fill="auto"/>
            <w:noWrap/>
            <w:vAlign w:val="bottom"/>
            <w:hideMark/>
          </w:tcPr>
          <w:p w14:paraId="420B4DFE" w14:textId="77777777" w:rsidR="00A9774A" w:rsidRPr="007E4BEF" w:rsidRDefault="00A9774A" w:rsidP="002874AC">
            <w:pPr>
              <w:pStyle w:val="table2"/>
              <w:jc w:val="right"/>
              <w:rPr>
                <w:lang w:eastAsia="zh-CN"/>
              </w:rPr>
            </w:pPr>
            <w:r w:rsidRPr="007E4BEF">
              <w:rPr>
                <w:lang w:eastAsia="zh-CN"/>
              </w:rPr>
              <w:t>0.109</w:t>
            </w:r>
          </w:p>
        </w:tc>
        <w:tc>
          <w:tcPr>
            <w:tcW w:w="960" w:type="dxa"/>
            <w:tcBorders>
              <w:top w:val="nil"/>
              <w:left w:val="nil"/>
              <w:bottom w:val="single" w:sz="4" w:space="0" w:color="auto"/>
              <w:right w:val="nil"/>
            </w:tcBorders>
            <w:shd w:val="clear" w:color="auto" w:fill="auto"/>
            <w:noWrap/>
            <w:vAlign w:val="bottom"/>
            <w:hideMark/>
          </w:tcPr>
          <w:p w14:paraId="46BBDE9E" w14:textId="77777777" w:rsidR="00A9774A" w:rsidRPr="007E4BEF" w:rsidRDefault="00A9774A" w:rsidP="002874AC">
            <w:pPr>
              <w:pStyle w:val="table2"/>
              <w:jc w:val="right"/>
              <w:rPr>
                <w:lang w:eastAsia="zh-CN"/>
              </w:rPr>
            </w:pPr>
            <w:r w:rsidRPr="007E4BEF">
              <w:rPr>
                <w:lang w:eastAsia="zh-CN"/>
              </w:rPr>
              <w:t>0</w:t>
            </w:r>
          </w:p>
        </w:tc>
        <w:tc>
          <w:tcPr>
            <w:tcW w:w="960" w:type="dxa"/>
            <w:tcBorders>
              <w:top w:val="nil"/>
              <w:left w:val="nil"/>
              <w:bottom w:val="single" w:sz="4" w:space="0" w:color="auto"/>
              <w:right w:val="nil"/>
            </w:tcBorders>
            <w:shd w:val="clear" w:color="auto" w:fill="auto"/>
            <w:noWrap/>
            <w:vAlign w:val="bottom"/>
            <w:hideMark/>
          </w:tcPr>
          <w:p w14:paraId="305828F8" w14:textId="77777777" w:rsidR="00A9774A" w:rsidRPr="007E4BEF" w:rsidRDefault="00A9774A" w:rsidP="002874AC">
            <w:pPr>
              <w:pStyle w:val="table2"/>
              <w:jc w:val="right"/>
              <w:rPr>
                <w:lang w:eastAsia="zh-CN"/>
              </w:rPr>
            </w:pPr>
            <w:r w:rsidRPr="007E4BEF">
              <w:rPr>
                <w:lang w:eastAsia="zh-CN"/>
              </w:rPr>
              <w:t>1</w:t>
            </w:r>
          </w:p>
        </w:tc>
      </w:tr>
    </w:tbl>
    <w:p w14:paraId="6248ACE7" w14:textId="77777777" w:rsidR="00A9774A" w:rsidRDefault="00A9774A" w:rsidP="0055134F">
      <w:pPr>
        <w:rPr>
          <w:lang w:val="en-US" w:eastAsia="nb-NO"/>
        </w:rPr>
      </w:pPr>
    </w:p>
    <w:p w14:paraId="54D0BB67" w14:textId="32578247" w:rsidR="007765BC" w:rsidRDefault="007765BC">
      <w:pPr>
        <w:spacing w:line="240" w:lineRule="auto"/>
        <w:ind w:firstLine="0"/>
        <w:jc w:val="left"/>
        <w:rPr>
          <w:b/>
          <w:lang w:val="en-US"/>
        </w:rPr>
      </w:pPr>
    </w:p>
    <w:p w14:paraId="41A09093" w14:textId="480709F1" w:rsidR="00411D12" w:rsidRDefault="000B0644" w:rsidP="00B243A2">
      <w:pPr>
        <w:pStyle w:val="Heading1"/>
      </w:pPr>
      <w:r>
        <w:t>Results</w:t>
      </w:r>
    </w:p>
    <w:p w14:paraId="7C0F0955" w14:textId="30B8E761" w:rsidR="00AF5B9D" w:rsidRDefault="00AF5B9D" w:rsidP="00004B48">
      <w:pPr>
        <w:ind w:firstLine="0"/>
        <w:rPr>
          <w:lang w:val="en-US"/>
        </w:rPr>
      </w:pPr>
      <w:r>
        <w:rPr>
          <w:lang w:val="en-US"/>
        </w:rPr>
        <w:t xml:space="preserve">Table </w:t>
      </w:r>
      <w:r w:rsidR="00004B48">
        <w:rPr>
          <w:lang w:val="en-US"/>
        </w:rPr>
        <w:t>4</w:t>
      </w:r>
      <w:r>
        <w:rPr>
          <w:lang w:val="en-US"/>
        </w:rPr>
        <w:t xml:space="preserve"> shows the results from the matching tests with regard to how survivor status and program exposure affect perceptions of social exclusion (Models 5a-5c) and improvements in economic living conditions (Models 5d-5f). As explained above, we first set the strata, i.e. we create groups </w:t>
      </w:r>
      <w:r w:rsidRPr="00AF5B9D">
        <w:rPr>
          <w:lang w:val="en-US"/>
        </w:rPr>
        <w:t xml:space="preserve">of respondents that are similar on the following background factors: age, </w:t>
      </w:r>
      <w:r w:rsidRPr="00AF5B9D">
        <w:rPr>
          <w:lang w:val="en-US"/>
        </w:rPr>
        <w:lastRenderedPageBreak/>
        <w:t xml:space="preserve">education level, </w:t>
      </w:r>
      <w:r>
        <w:rPr>
          <w:lang w:val="en-US"/>
        </w:rPr>
        <w:t>ethnicity, religion, and territorial affiliation</w:t>
      </w:r>
      <w:r w:rsidRPr="00AF5B9D">
        <w:rPr>
          <w:lang w:val="en-US"/>
        </w:rPr>
        <w:t xml:space="preserve">. Next we measure the effect of </w:t>
      </w:r>
      <w:r>
        <w:rPr>
          <w:lang w:val="en-US"/>
        </w:rPr>
        <w:t xml:space="preserve">survivor status and </w:t>
      </w:r>
      <w:r w:rsidRPr="00AF5B9D">
        <w:rPr>
          <w:lang w:val="en-US"/>
        </w:rPr>
        <w:t>support program exposure on the dependent variable</w:t>
      </w:r>
      <w:r>
        <w:rPr>
          <w:lang w:val="en-US"/>
        </w:rPr>
        <w:t>s</w:t>
      </w:r>
      <w:r w:rsidRPr="00AF5B9D">
        <w:rPr>
          <w:lang w:val="en-US"/>
        </w:rPr>
        <w:t xml:space="preserve"> social inclusion</w:t>
      </w:r>
      <w:r>
        <w:rPr>
          <w:lang w:val="en-US"/>
        </w:rPr>
        <w:t xml:space="preserve"> and improved economic situation</w:t>
      </w:r>
      <w:r w:rsidRPr="00AF5B9D">
        <w:rPr>
          <w:lang w:val="en-US"/>
        </w:rPr>
        <w:t xml:space="preserve"> with fixed effects regression (xtreg). </w:t>
      </w:r>
    </w:p>
    <w:p w14:paraId="6BF9DDD4" w14:textId="277D1148" w:rsidR="001A53CF" w:rsidRDefault="001A53CF">
      <w:pPr>
        <w:spacing w:line="240" w:lineRule="auto"/>
        <w:ind w:firstLine="0"/>
        <w:jc w:val="left"/>
        <w:rPr>
          <w:b/>
          <w:lang w:val="en-US" w:eastAsia="nb-NO"/>
        </w:rPr>
      </w:pPr>
    </w:p>
    <w:p w14:paraId="5DC9D384" w14:textId="6150BCFC" w:rsidR="001A53CF" w:rsidRPr="000D475F" w:rsidRDefault="001A53CF" w:rsidP="00161D05">
      <w:pPr>
        <w:pStyle w:val="FigHead"/>
        <w:rPr>
          <w:lang w:eastAsia="nb-NO"/>
        </w:rPr>
      </w:pPr>
      <w:r>
        <w:rPr>
          <w:lang w:eastAsia="nb-NO"/>
        </w:rPr>
        <w:t>T</w:t>
      </w:r>
      <w:r>
        <w:t xml:space="preserve">able </w:t>
      </w:r>
      <w:r w:rsidR="00004B48">
        <w:t>4</w:t>
      </w:r>
      <w:r>
        <w:t xml:space="preserve">. </w:t>
      </w:r>
      <w:r>
        <w:rPr>
          <w:lang w:eastAsia="nb-NO"/>
        </w:rPr>
        <w:t>The effect of survivor status and support program exposure on perceived social inclusion and economic wellbeing</w:t>
      </w:r>
    </w:p>
    <w:tbl>
      <w:tblPr>
        <w:tblW w:w="4999" w:type="pct"/>
        <w:tblLayout w:type="fixed"/>
        <w:tblCellMar>
          <w:left w:w="70" w:type="dxa"/>
          <w:right w:w="70" w:type="dxa"/>
        </w:tblCellMar>
        <w:tblLook w:val="04A0" w:firstRow="1" w:lastRow="0" w:firstColumn="1" w:lastColumn="0" w:noHBand="0" w:noVBand="1"/>
      </w:tblPr>
      <w:tblGrid>
        <w:gridCol w:w="2454"/>
        <w:gridCol w:w="1106"/>
        <w:gridCol w:w="1108"/>
        <w:gridCol w:w="1108"/>
        <w:gridCol w:w="1108"/>
        <w:gridCol w:w="1108"/>
        <w:gridCol w:w="1104"/>
      </w:tblGrid>
      <w:tr w:rsidR="001A53CF" w:rsidRPr="00E44A3E" w14:paraId="519E23AE" w14:textId="77777777" w:rsidTr="00004B48">
        <w:trPr>
          <w:trHeight w:val="57"/>
        </w:trPr>
        <w:tc>
          <w:tcPr>
            <w:tcW w:w="1349" w:type="pct"/>
            <w:tcBorders>
              <w:top w:val="single" w:sz="4" w:space="0" w:color="auto"/>
              <w:left w:val="nil"/>
              <w:right w:val="nil"/>
            </w:tcBorders>
            <w:shd w:val="clear" w:color="auto" w:fill="auto"/>
            <w:noWrap/>
            <w:vAlign w:val="bottom"/>
            <w:hideMark/>
          </w:tcPr>
          <w:p w14:paraId="22C45F93" w14:textId="77777777" w:rsidR="001A53CF" w:rsidRPr="00E44A3E" w:rsidRDefault="001A53CF" w:rsidP="000720E7">
            <w:pPr>
              <w:pStyle w:val="table2"/>
              <w:rPr>
                <w:lang w:val="en-US" w:eastAsia="zh-CN"/>
              </w:rPr>
            </w:pPr>
          </w:p>
        </w:tc>
        <w:tc>
          <w:tcPr>
            <w:tcW w:w="608" w:type="pct"/>
            <w:tcBorders>
              <w:top w:val="single" w:sz="4" w:space="0" w:color="auto"/>
              <w:left w:val="nil"/>
              <w:right w:val="nil"/>
            </w:tcBorders>
          </w:tcPr>
          <w:p w14:paraId="62933E1A" w14:textId="716EF0A7" w:rsidR="001A53CF" w:rsidRPr="00BA14CF" w:rsidRDefault="00004B48" w:rsidP="000720E7">
            <w:pPr>
              <w:pStyle w:val="table2"/>
              <w:jc w:val="center"/>
              <w:rPr>
                <w:lang w:val="en-US" w:eastAsia="zh-CN"/>
              </w:rPr>
            </w:pPr>
            <w:r>
              <w:rPr>
                <w:lang w:val="en-US" w:eastAsia="zh-CN"/>
              </w:rPr>
              <w:t>4</w:t>
            </w:r>
            <w:r w:rsidR="001A53CF" w:rsidRPr="00BA14CF">
              <w:rPr>
                <w:lang w:val="en-US" w:eastAsia="zh-CN"/>
              </w:rPr>
              <w:t>a</w:t>
            </w:r>
          </w:p>
        </w:tc>
        <w:tc>
          <w:tcPr>
            <w:tcW w:w="609" w:type="pct"/>
            <w:tcBorders>
              <w:top w:val="single" w:sz="4" w:space="0" w:color="auto"/>
              <w:left w:val="nil"/>
              <w:right w:val="nil"/>
            </w:tcBorders>
            <w:shd w:val="clear" w:color="auto" w:fill="auto"/>
            <w:noWrap/>
            <w:vAlign w:val="bottom"/>
          </w:tcPr>
          <w:p w14:paraId="45C25206" w14:textId="48132018" w:rsidR="001A53CF" w:rsidRPr="00BA14CF" w:rsidRDefault="00004B48" w:rsidP="000720E7">
            <w:pPr>
              <w:pStyle w:val="table2"/>
              <w:jc w:val="center"/>
              <w:rPr>
                <w:lang w:val="en-US" w:eastAsia="zh-CN"/>
              </w:rPr>
            </w:pPr>
            <w:r>
              <w:rPr>
                <w:lang w:val="en-US" w:eastAsia="zh-CN"/>
              </w:rPr>
              <w:t>4</w:t>
            </w:r>
            <w:r w:rsidR="001A53CF" w:rsidRPr="00BA14CF">
              <w:rPr>
                <w:lang w:val="en-US" w:eastAsia="zh-CN"/>
              </w:rPr>
              <w:t>b</w:t>
            </w:r>
          </w:p>
        </w:tc>
        <w:tc>
          <w:tcPr>
            <w:tcW w:w="609" w:type="pct"/>
            <w:tcBorders>
              <w:top w:val="single" w:sz="4" w:space="0" w:color="auto"/>
              <w:left w:val="nil"/>
              <w:right w:val="nil"/>
            </w:tcBorders>
            <w:shd w:val="clear" w:color="auto" w:fill="auto"/>
            <w:vAlign w:val="bottom"/>
          </w:tcPr>
          <w:p w14:paraId="4AD17D35" w14:textId="20C30213" w:rsidR="001A53CF" w:rsidRPr="00BA14CF" w:rsidRDefault="00004B48" w:rsidP="000720E7">
            <w:pPr>
              <w:pStyle w:val="table2"/>
              <w:jc w:val="center"/>
              <w:rPr>
                <w:lang w:val="en-US" w:eastAsia="zh-CN"/>
              </w:rPr>
            </w:pPr>
            <w:r>
              <w:rPr>
                <w:lang w:val="en-US" w:eastAsia="zh-CN"/>
              </w:rPr>
              <w:t>4</w:t>
            </w:r>
            <w:r w:rsidR="001A53CF" w:rsidRPr="00BA14CF">
              <w:rPr>
                <w:lang w:val="en-US" w:eastAsia="zh-CN"/>
              </w:rPr>
              <w:t>c</w:t>
            </w:r>
          </w:p>
        </w:tc>
        <w:tc>
          <w:tcPr>
            <w:tcW w:w="609" w:type="pct"/>
            <w:tcBorders>
              <w:top w:val="single" w:sz="4" w:space="0" w:color="auto"/>
              <w:left w:val="nil"/>
              <w:right w:val="nil"/>
            </w:tcBorders>
          </w:tcPr>
          <w:p w14:paraId="61BD299A" w14:textId="74336612" w:rsidR="001A53CF" w:rsidRPr="007D36BD" w:rsidRDefault="00004B48" w:rsidP="000720E7">
            <w:pPr>
              <w:pStyle w:val="table2"/>
              <w:jc w:val="center"/>
              <w:rPr>
                <w:highlight w:val="yellow"/>
                <w:lang w:val="en-US" w:eastAsia="zh-CN"/>
              </w:rPr>
            </w:pPr>
            <w:r>
              <w:rPr>
                <w:sz w:val="22"/>
                <w:szCs w:val="22"/>
                <w:lang w:val="en-US" w:eastAsia="zh-CN"/>
              </w:rPr>
              <w:t>4</w:t>
            </w:r>
            <w:r w:rsidR="001A53CF">
              <w:rPr>
                <w:sz w:val="22"/>
                <w:szCs w:val="22"/>
                <w:lang w:val="en-US" w:eastAsia="zh-CN"/>
              </w:rPr>
              <w:t>d</w:t>
            </w:r>
          </w:p>
        </w:tc>
        <w:tc>
          <w:tcPr>
            <w:tcW w:w="609" w:type="pct"/>
            <w:tcBorders>
              <w:top w:val="single" w:sz="4" w:space="0" w:color="auto"/>
              <w:left w:val="nil"/>
              <w:right w:val="nil"/>
            </w:tcBorders>
            <w:vAlign w:val="bottom"/>
          </w:tcPr>
          <w:p w14:paraId="30F1E07F" w14:textId="72DFB234" w:rsidR="001A53CF" w:rsidRPr="007D36BD" w:rsidRDefault="00004B48" w:rsidP="000720E7">
            <w:pPr>
              <w:pStyle w:val="table2"/>
              <w:jc w:val="center"/>
              <w:rPr>
                <w:highlight w:val="yellow"/>
                <w:lang w:val="en-US" w:eastAsia="zh-CN"/>
              </w:rPr>
            </w:pPr>
            <w:r>
              <w:rPr>
                <w:sz w:val="22"/>
                <w:szCs w:val="22"/>
                <w:lang w:val="en-US" w:eastAsia="zh-CN"/>
              </w:rPr>
              <w:t>4</w:t>
            </w:r>
            <w:r w:rsidR="001A53CF">
              <w:rPr>
                <w:sz w:val="22"/>
                <w:szCs w:val="22"/>
                <w:lang w:val="en-US" w:eastAsia="zh-CN"/>
              </w:rPr>
              <w:t>e</w:t>
            </w:r>
          </w:p>
        </w:tc>
        <w:tc>
          <w:tcPr>
            <w:tcW w:w="607" w:type="pct"/>
            <w:tcBorders>
              <w:top w:val="single" w:sz="4" w:space="0" w:color="auto"/>
              <w:left w:val="nil"/>
              <w:right w:val="nil"/>
            </w:tcBorders>
            <w:vAlign w:val="bottom"/>
          </w:tcPr>
          <w:p w14:paraId="4A3E4306" w14:textId="0AC463DD" w:rsidR="001A53CF" w:rsidRPr="007D36BD" w:rsidRDefault="00004B48" w:rsidP="000720E7">
            <w:pPr>
              <w:pStyle w:val="table2"/>
              <w:jc w:val="center"/>
              <w:rPr>
                <w:highlight w:val="yellow"/>
                <w:lang w:val="en-US" w:eastAsia="zh-CN"/>
              </w:rPr>
            </w:pPr>
            <w:r>
              <w:rPr>
                <w:sz w:val="22"/>
                <w:szCs w:val="22"/>
                <w:lang w:val="en-US" w:eastAsia="zh-CN"/>
              </w:rPr>
              <w:t>4</w:t>
            </w:r>
            <w:r w:rsidR="001A53CF">
              <w:rPr>
                <w:sz w:val="22"/>
                <w:szCs w:val="22"/>
                <w:lang w:val="en-US" w:eastAsia="zh-CN"/>
              </w:rPr>
              <w:t>f</w:t>
            </w:r>
          </w:p>
        </w:tc>
      </w:tr>
      <w:tr w:rsidR="001A53CF" w:rsidRPr="00E44A3E" w14:paraId="619B9F18" w14:textId="77777777" w:rsidTr="000720E7">
        <w:trPr>
          <w:trHeight w:val="57"/>
        </w:trPr>
        <w:tc>
          <w:tcPr>
            <w:tcW w:w="1349" w:type="pct"/>
            <w:tcBorders>
              <w:left w:val="nil"/>
              <w:bottom w:val="single" w:sz="4" w:space="0" w:color="auto"/>
              <w:right w:val="nil"/>
            </w:tcBorders>
            <w:shd w:val="clear" w:color="auto" w:fill="auto"/>
            <w:noWrap/>
            <w:vAlign w:val="bottom"/>
          </w:tcPr>
          <w:p w14:paraId="3ACBB6A2" w14:textId="77777777" w:rsidR="001A53CF" w:rsidRPr="00E44A3E" w:rsidRDefault="001A53CF" w:rsidP="000720E7">
            <w:pPr>
              <w:pStyle w:val="table2"/>
              <w:rPr>
                <w:lang w:val="en-US" w:eastAsia="zh-CN"/>
              </w:rPr>
            </w:pPr>
          </w:p>
        </w:tc>
        <w:tc>
          <w:tcPr>
            <w:tcW w:w="608" w:type="pct"/>
            <w:tcBorders>
              <w:left w:val="nil"/>
              <w:bottom w:val="single" w:sz="4" w:space="0" w:color="auto"/>
              <w:right w:val="nil"/>
            </w:tcBorders>
            <w:vAlign w:val="bottom"/>
          </w:tcPr>
          <w:p w14:paraId="342A3853" w14:textId="77777777" w:rsidR="001A53CF" w:rsidRPr="00004B48" w:rsidRDefault="001A53CF" w:rsidP="000720E7">
            <w:pPr>
              <w:pStyle w:val="table2"/>
              <w:jc w:val="center"/>
              <w:rPr>
                <w:sz w:val="22"/>
                <w:lang w:eastAsia="zh-CN"/>
              </w:rPr>
            </w:pPr>
            <w:r w:rsidRPr="00004B48">
              <w:rPr>
                <w:sz w:val="22"/>
                <w:lang w:eastAsia="zh-CN"/>
              </w:rPr>
              <w:t>Social</w:t>
            </w:r>
          </w:p>
          <w:p w14:paraId="52BF88F7" w14:textId="77777777" w:rsidR="001A53CF" w:rsidRPr="00004B48" w:rsidRDefault="001A53CF" w:rsidP="000720E7">
            <w:pPr>
              <w:pStyle w:val="table2"/>
              <w:jc w:val="center"/>
              <w:rPr>
                <w:sz w:val="22"/>
                <w:lang w:eastAsia="zh-CN"/>
              </w:rPr>
            </w:pPr>
            <w:r w:rsidRPr="00004B48">
              <w:rPr>
                <w:sz w:val="22"/>
                <w:lang w:eastAsia="zh-CN"/>
              </w:rPr>
              <w:t xml:space="preserve">Inclusion    </w:t>
            </w:r>
          </w:p>
        </w:tc>
        <w:tc>
          <w:tcPr>
            <w:tcW w:w="609" w:type="pct"/>
            <w:tcBorders>
              <w:left w:val="nil"/>
              <w:bottom w:val="single" w:sz="4" w:space="0" w:color="auto"/>
              <w:right w:val="nil"/>
            </w:tcBorders>
            <w:shd w:val="clear" w:color="auto" w:fill="auto"/>
            <w:noWrap/>
            <w:vAlign w:val="bottom"/>
          </w:tcPr>
          <w:p w14:paraId="18F64A25" w14:textId="77777777" w:rsidR="001A53CF" w:rsidRPr="00004B48" w:rsidRDefault="001A53CF" w:rsidP="000720E7">
            <w:pPr>
              <w:pStyle w:val="table2"/>
              <w:jc w:val="center"/>
              <w:rPr>
                <w:sz w:val="22"/>
                <w:lang w:eastAsia="zh-CN"/>
              </w:rPr>
            </w:pPr>
            <w:r w:rsidRPr="00004B48">
              <w:rPr>
                <w:sz w:val="22"/>
                <w:lang w:eastAsia="zh-CN"/>
              </w:rPr>
              <w:t>Social</w:t>
            </w:r>
          </w:p>
          <w:p w14:paraId="3B871BD3" w14:textId="77777777" w:rsidR="001A53CF" w:rsidRPr="00004B48" w:rsidRDefault="001A53CF" w:rsidP="000720E7">
            <w:pPr>
              <w:pStyle w:val="table2"/>
              <w:jc w:val="center"/>
              <w:rPr>
                <w:sz w:val="22"/>
                <w:lang w:eastAsia="zh-CN"/>
              </w:rPr>
            </w:pPr>
            <w:r w:rsidRPr="00004B48">
              <w:rPr>
                <w:sz w:val="22"/>
                <w:lang w:eastAsia="zh-CN"/>
              </w:rPr>
              <w:t xml:space="preserve">Inclusion    </w:t>
            </w:r>
          </w:p>
        </w:tc>
        <w:tc>
          <w:tcPr>
            <w:tcW w:w="609" w:type="pct"/>
            <w:tcBorders>
              <w:left w:val="nil"/>
              <w:bottom w:val="single" w:sz="4" w:space="0" w:color="auto"/>
              <w:right w:val="nil"/>
            </w:tcBorders>
            <w:shd w:val="clear" w:color="auto" w:fill="auto"/>
            <w:vAlign w:val="bottom"/>
          </w:tcPr>
          <w:p w14:paraId="494331D6" w14:textId="77777777" w:rsidR="001A53CF" w:rsidRPr="00004B48" w:rsidRDefault="001A53CF" w:rsidP="000720E7">
            <w:pPr>
              <w:pStyle w:val="table2"/>
              <w:jc w:val="center"/>
              <w:rPr>
                <w:sz w:val="22"/>
                <w:lang w:eastAsia="zh-CN"/>
              </w:rPr>
            </w:pPr>
            <w:r w:rsidRPr="00004B48">
              <w:rPr>
                <w:sz w:val="22"/>
                <w:lang w:eastAsia="zh-CN"/>
              </w:rPr>
              <w:t>Social</w:t>
            </w:r>
          </w:p>
          <w:p w14:paraId="31DBC3D2" w14:textId="77777777" w:rsidR="001A53CF" w:rsidRPr="00004B48" w:rsidRDefault="001A53CF" w:rsidP="000720E7">
            <w:pPr>
              <w:pStyle w:val="table2"/>
              <w:jc w:val="center"/>
              <w:rPr>
                <w:sz w:val="22"/>
                <w:lang w:eastAsia="zh-CN"/>
              </w:rPr>
            </w:pPr>
            <w:r w:rsidRPr="00004B48">
              <w:rPr>
                <w:sz w:val="22"/>
                <w:lang w:eastAsia="zh-CN"/>
              </w:rPr>
              <w:t xml:space="preserve">Inclusion    </w:t>
            </w:r>
          </w:p>
        </w:tc>
        <w:tc>
          <w:tcPr>
            <w:tcW w:w="609" w:type="pct"/>
            <w:tcBorders>
              <w:left w:val="nil"/>
              <w:bottom w:val="single" w:sz="4" w:space="0" w:color="auto"/>
              <w:right w:val="nil"/>
            </w:tcBorders>
            <w:vAlign w:val="bottom"/>
          </w:tcPr>
          <w:p w14:paraId="700B8675" w14:textId="79EE7771" w:rsidR="001A53CF" w:rsidRPr="007D36BD" w:rsidRDefault="001A53CF" w:rsidP="000720E7">
            <w:pPr>
              <w:pStyle w:val="table2"/>
              <w:jc w:val="center"/>
              <w:rPr>
                <w:highlight w:val="yellow"/>
                <w:lang w:eastAsia="zh-CN"/>
              </w:rPr>
            </w:pPr>
            <w:r w:rsidRPr="000D475F">
              <w:rPr>
                <w:sz w:val="22"/>
                <w:szCs w:val="22"/>
                <w:lang w:eastAsia="zh-CN"/>
              </w:rPr>
              <w:t>Economic wellbeing</w:t>
            </w:r>
          </w:p>
        </w:tc>
        <w:tc>
          <w:tcPr>
            <w:tcW w:w="609" w:type="pct"/>
            <w:tcBorders>
              <w:left w:val="nil"/>
              <w:bottom w:val="single" w:sz="4" w:space="0" w:color="auto"/>
              <w:right w:val="nil"/>
            </w:tcBorders>
            <w:vAlign w:val="bottom"/>
          </w:tcPr>
          <w:p w14:paraId="735824B0" w14:textId="4C69344B" w:rsidR="001A53CF" w:rsidRPr="007D36BD" w:rsidRDefault="001A53CF" w:rsidP="000720E7">
            <w:pPr>
              <w:pStyle w:val="table2"/>
              <w:jc w:val="center"/>
              <w:rPr>
                <w:highlight w:val="yellow"/>
                <w:lang w:eastAsia="zh-CN"/>
              </w:rPr>
            </w:pPr>
            <w:r w:rsidRPr="000D475F">
              <w:rPr>
                <w:sz w:val="22"/>
                <w:szCs w:val="22"/>
                <w:lang w:eastAsia="zh-CN"/>
              </w:rPr>
              <w:t>Economic wellbeing</w:t>
            </w:r>
          </w:p>
        </w:tc>
        <w:tc>
          <w:tcPr>
            <w:tcW w:w="607" w:type="pct"/>
            <w:tcBorders>
              <w:left w:val="nil"/>
              <w:bottom w:val="single" w:sz="4" w:space="0" w:color="auto"/>
              <w:right w:val="nil"/>
            </w:tcBorders>
            <w:vAlign w:val="bottom"/>
          </w:tcPr>
          <w:p w14:paraId="4FD2B5F7" w14:textId="7B080007" w:rsidR="001A53CF" w:rsidRPr="007D36BD" w:rsidRDefault="001A53CF" w:rsidP="000720E7">
            <w:pPr>
              <w:pStyle w:val="table2"/>
              <w:jc w:val="center"/>
              <w:rPr>
                <w:highlight w:val="yellow"/>
                <w:lang w:eastAsia="zh-CN"/>
              </w:rPr>
            </w:pPr>
            <w:r w:rsidRPr="000D475F">
              <w:rPr>
                <w:sz w:val="22"/>
                <w:szCs w:val="22"/>
                <w:lang w:eastAsia="zh-CN"/>
              </w:rPr>
              <w:t>Economic wellbeing</w:t>
            </w:r>
          </w:p>
        </w:tc>
      </w:tr>
      <w:tr w:rsidR="001A53CF" w:rsidRPr="00E44A3E" w14:paraId="1800F6D5" w14:textId="77777777" w:rsidTr="000720E7">
        <w:trPr>
          <w:trHeight w:val="57"/>
        </w:trPr>
        <w:tc>
          <w:tcPr>
            <w:tcW w:w="1349" w:type="pct"/>
            <w:tcBorders>
              <w:top w:val="single" w:sz="4" w:space="0" w:color="auto"/>
            </w:tcBorders>
            <w:shd w:val="clear" w:color="auto" w:fill="auto"/>
            <w:noWrap/>
            <w:vAlign w:val="bottom"/>
            <w:hideMark/>
          </w:tcPr>
          <w:p w14:paraId="2A3337CF" w14:textId="77777777" w:rsidR="001A53CF" w:rsidRPr="00004B48" w:rsidRDefault="001A53CF" w:rsidP="000720E7">
            <w:pPr>
              <w:pStyle w:val="table2"/>
              <w:rPr>
                <w:sz w:val="21"/>
              </w:rPr>
            </w:pPr>
            <w:r w:rsidRPr="00004B48">
              <w:rPr>
                <w:sz w:val="21"/>
              </w:rPr>
              <w:t>Survivor</w:t>
            </w:r>
          </w:p>
        </w:tc>
        <w:tc>
          <w:tcPr>
            <w:tcW w:w="608" w:type="pct"/>
            <w:tcBorders>
              <w:top w:val="single" w:sz="4" w:space="0" w:color="auto"/>
            </w:tcBorders>
          </w:tcPr>
          <w:p w14:paraId="09F0BCBF" w14:textId="77777777" w:rsidR="001A53CF" w:rsidRPr="00004B48" w:rsidRDefault="001A53CF" w:rsidP="000720E7">
            <w:pPr>
              <w:pStyle w:val="table2"/>
              <w:rPr>
                <w:sz w:val="21"/>
                <w:lang w:eastAsia="zh-CN"/>
              </w:rPr>
            </w:pPr>
            <w:r w:rsidRPr="00004B48">
              <w:rPr>
                <w:sz w:val="21"/>
                <w:lang w:eastAsia="zh-CN"/>
              </w:rPr>
              <w:t>-0.741***</w:t>
            </w:r>
          </w:p>
        </w:tc>
        <w:tc>
          <w:tcPr>
            <w:tcW w:w="609" w:type="pct"/>
            <w:tcBorders>
              <w:top w:val="single" w:sz="4" w:space="0" w:color="auto"/>
            </w:tcBorders>
            <w:shd w:val="clear" w:color="auto" w:fill="auto"/>
            <w:noWrap/>
            <w:vAlign w:val="bottom"/>
          </w:tcPr>
          <w:p w14:paraId="738595DE" w14:textId="77777777" w:rsidR="001A53CF" w:rsidRPr="00004B48" w:rsidRDefault="001A53CF" w:rsidP="000720E7">
            <w:pPr>
              <w:pStyle w:val="table2"/>
              <w:rPr>
                <w:sz w:val="21"/>
                <w:lang w:eastAsia="zh-CN"/>
              </w:rPr>
            </w:pPr>
          </w:p>
        </w:tc>
        <w:tc>
          <w:tcPr>
            <w:tcW w:w="609" w:type="pct"/>
            <w:tcBorders>
              <w:top w:val="single" w:sz="4" w:space="0" w:color="auto"/>
            </w:tcBorders>
            <w:shd w:val="clear" w:color="auto" w:fill="auto"/>
            <w:vAlign w:val="bottom"/>
          </w:tcPr>
          <w:p w14:paraId="66D36579" w14:textId="77777777" w:rsidR="001A53CF" w:rsidRPr="00004B48" w:rsidRDefault="001A53CF" w:rsidP="000720E7">
            <w:pPr>
              <w:pStyle w:val="table2"/>
              <w:rPr>
                <w:sz w:val="21"/>
                <w:lang w:eastAsia="zh-CN"/>
              </w:rPr>
            </w:pPr>
          </w:p>
        </w:tc>
        <w:tc>
          <w:tcPr>
            <w:tcW w:w="609" w:type="pct"/>
            <w:tcBorders>
              <w:top w:val="single" w:sz="4" w:space="0" w:color="auto"/>
            </w:tcBorders>
          </w:tcPr>
          <w:p w14:paraId="56E8CE83" w14:textId="7CF60420" w:rsidR="001A53CF" w:rsidRPr="00004B48" w:rsidRDefault="001A53CF" w:rsidP="000720E7">
            <w:pPr>
              <w:pStyle w:val="table2"/>
              <w:rPr>
                <w:sz w:val="21"/>
                <w:lang w:eastAsia="zh-CN"/>
              </w:rPr>
            </w:pPr>
            <w:r w:rsidRPr="00004B48">
              <w:rPr>
                <w:sz w:val="21"/>
                <w:lang w:eastAsia="zh-CN"/>
              </w:rPr>
              <w:t>-0.090</w:t>
            </w:r>
          </w:p>
        </w:tc>
        <w:tc>
          <w:tcPr>
            <w:tcW w:w="609" w:type="pct"/>
            <w:tcBorders>
              <w:top w:val="single" w:sz="4" w:space="0" w:color="auto"/>
            </w:tcBorders>
            <w:vAlign w:val="bottom"/>
          </w:tcPr>
          <w:p w14:paraId="3C476596" w14:textId="77777777" w:rsidR="001A53CF" w:rsidRPr="00004B48" w:rsidRDefault="001A53CF" w:rsidP="000720E7">
            <w:pPr>
              <w:pStyle w:val="table2"/>
              <w:rPr>
                <w:sz w:val="21"/>
                <w:lang w:eastAsia="zh-CN"/>
              </w:rPr>
            </w:pPr>
          </w:p>
        </w:tc>
        <w:tc>
          <w:tcPr>
            <w:tcW w:w="607" w:type="pct"/>
            <w:tcBorders>
              <w:top w:val="single" w:sz="4" w:space="0" w:color="auto"/>
            </w:tcBorders>
            <w:vAlign w:val="bottom"/>
          </w:tcPr>
          <w:p w14:paraId="1A10F7D9" w14:textId="77777777" w:rsidR="001A53CF" w:rsidRPr="00004B48" w:rsidRDefault="001A53CF" w:rsidP="000720E7">
            <w:pPr>
              <w:pStyle w:val="table2"/>
              <w:rPr>
                <w:sz w:val="21"/>
                <w:lang w:eastAsia="zh-CN"/>
              </w:rPr>
            </w:pPr>
          </w:p>
        </w:tc>
      </w:tr>
      <w:tr w:rsidR="001A53CF" w:rsidRPr="00E44A3E" w14:paraId="7473B89B" w14:textId="77777777" w:rsidTr="000720E7">
        <w:trPr>
          <w:trHeight w:val="57"/>
        </w:trPr>
        <w:tc>
          <w:tcPr>
            <w:tcW w:w="1349" w:type="pct"/>
            <w:shd w:val="clear" w:color="auto" w:fill="auto"/>
            <w:noWrap/>
            <w:vAlign w:val="bottom"/>
          </w:tcPr>
          <w:p w14:paraId="780A094A" w14:textId="77777777" w:rsidR="001A53CF" w:rsidRPr="00004B48" w:rsidRDefault="001A53CF" w:rsidP="000720E7">
            <w:pPr>
              <w:pStyle w:val="table2"/>
              <w:rPr>
                <w:sz w:val="21"/>
                <w:lang w:val="en-US"/>
              </w:rPr>
            </w:pPr>
          </w:p>
        </w:tc>
        <w:tc>
          <w:tcPr>
            <w:tcW w:w="608" w:type="pct"/>
          </w:tcPr>
          <w:p w14:paraId="341359C3" w14:textId="77777777" w:rsidR="001A53CF" w:rsidRPr="00004B48" w:rsidRDefault="001A53CF" w:rsidP="000720E7">
            <w:pPr>
              <w:pStyle w:val="table2"/>
              <w:rPr>
                <w:sz w:val="21"/>
                <w:lang w:val="en-US" w:eastAsia="zh-CN"/>
              </w:rPr>
            </w:pPr>
            <w:r w:rsidRPr="00004B48">
              <w:rPr>
                <w:sz w:val="21"/>
                <w:lang w:val="en-US" w:eastAsia="zh-CN"/>
              </w:rPr>
              <w:t>(0.279)</w:t>
            </w:r>
          </w:p>
        </w:tc>
        <w:tc>
          <w:tcPr>
            <w:tcW w:w="609" w:type="pct"/>
            <w:shd w:val="clear" w:color="auto" w:fill="auto"/>
            <w:noWrap/>
            <w:vAlign w:val="bottom"/>
          </w:tcPr>
          <w:p w14:paraId="65676DAC" w14:textId="77777777" w:rsidR="001A53CF" w:rsidRPr="00004B48" w:rsidRDefault="001A53CF" w:rsidP="000720E7">
            <w:pPr>
              <w:pStyle w:val="table2"/>
              <w:rPr>
                <w:sz w:val="21"/>
                <w:lang w:eastAsia="zh-CN"/>
              </w:rPr>
            </w:pPr>
          </w:p>
        </w:tc>
        <w:tc>
          <w:tcPr>
            <w:tcW w:w="609" w:type="pct"/>
            <w:shd w:val="clear" w:color="auto" w:fill="auto"/>
            <w:vAlign w:val="bottom"/>
          </w:tcPr>
          <w:p w14:paraId="4BE74589" w14:textId="77777777" w:rsidR="001A53CF" w:rsidRPr="00004B48" w:rsidRDefault="001A53CF" w:rsidP="000720E7">
            <w:pPr>
              <w:pStyle w:val="table2"/>
              <w:rPr>
                <w:sz w:val="21"/>
                <w:lang w:eastAsia="zh-CN"/>
              </w:rPr>
            </w:pPr>
          </w:p>
        </w:tc>
        <w:tc>
          <w:tcPr>
            <w:tcW w:w="609" w:type="pct"/>
          </w:tcPr>
          <w:p w14:paraId="026381C0" w14:textId="05093BEF" w:rsidR="001A53CF" w:rsidRPr="00004B48" w:rsidRDefault="001A53CF" w:rsidP="000720E7">
            <w:pPr>
              <w:pStyle w:val="table2"/>
              <w:rPr>
                <w:sz w:val="21"/>
                <w:lang w:eastAsia="zh-CN"/>
              </w:rPr>
            </w:pPr>
            <w:r w:rsidRPr="00004B48">
              <w:rPr>
                <w:sz w:val="21"/>
                <w:lang w:eastAsia="zh-CN"/>
              </w:rPr>
              <w:t>(0.081)</w:t>
            </w:r>
          </w:p>
        </w:tc>
        <w:tc>
          <w:tcPr>
            <w:tcW w:w="609" w:type="pct"/>
            <w:vAlign w:val="bottom"/>
          </w:tcPr>
          <w:p w14:paraId="3E754238" w14:textId="77777777" w:rsidR="001A53CF" w:rsidRPr="00004B48" w:rsidRDefault="001A53CF" w:rsidP="000720E7">
            <w:pPr>
              <w:pStyle w:val="table2"/>
              <w:rPr>
                <w:sz w:val="21"/>
                <w:lang w:eastAsia="zh-CN"/>
              </w:rPr>
            </w:pPr>
          </w:p>
        </w:tc>
        <w:tc>
          <w:tcPr>
            <w:tcW w:w="607" w:type="pct"/>
            <w:vAlign w:val="bottom"/>
          </w:tcPr>
          <w:p w14:paraId="337A4347" w14:textId="77777777" w:rsidR="001A53CF" w:rsidRPr="00004B48" w:rsidRDefault="001A53CF" w:rsidP="000720E7">
            <w:pPr>
              <w:pStyle w:val="table2"/>
              <w:rPr>
                <w:sz w:val="21"/>
                <w:lang w:eastAsia="zh-CN"/>
              </w:rPr>
            </w:pPr>
          </w:p>
        </w:tc>
      </w:tr>
      <w:tr w:rsidR="001A53CF" w:rsidRPr="00E44A3E" w14:paraId="58E675EB" w14:textId="77777777" w:rsidTr="000720E7">
        <w:trPr>
          <w:trHeight w:val="321"/>
        </w:trPr>
        <w:tc>
          <w:tcPr>
            <w:tcW w:w="1349" w:type="pct"/>
            <w:shd w:val="clear" w:color="auto" w:fill="auto"/>
            <w:noWrap/>
            <w:vAlign w:val="bottom"/>
          </w:tcPr>
          <w:p w14:paraId="167E0CE5" w14:textId="77777777" w:rsidR="001A53CF" w:rsidRPr="00004B48" w:rsidRDefault="001A53CF" w:rsidP="000720E7">
            <w:pPr>
              <w:pStyle w:val="table2"/>
              <w:rPr>
                <w:sz w:val="21"/>
                <w:lang w:val="en-US"/>
              </w:rPr>
            </w:pPr>
            <w:r w:rsidRPr="00004B48">
              <w:rPr>
                <w:sz w:val="21"/>
                <w:lang w:val="en-US"/>
              </w:rPr>
              <w:t>Support program</w:t>
            </w:r>
          </w:p>
        </w:tc>
        <w:tc>
          <w:tcPr>
            <w:tcW w:w="608" w:type="pct"/>
          </w:tcPr>
          <w:p w14:paraId="7CC166F5" w14:textId="77777777" w:rsidR="001A53CF" w:rsidRPr="00004B48" w:rsidRDefault="001A53CF" w:rsidP="000720E7">
            <w:pPr>
              <w:pStyle w:val="table2"/>
              <w:rPr>
                <w:sz w:val="21"/>
                <w:lang w:val="en-US" w:eastAsia="zh-CN"/>
              </w:rPr>
            </w:pPr>
          </w:p>
        </w:tc>
        <w:tc>
          <w:tcPr>
            <w:tcW w:w="609" w:type="pct"/>
            <w:shd w:val="clear" w:color="auto" w:fill="auto"/>
            <w:noWrap/>
            <w:vAlign w:val="bottom"/>
          </w:tcPr>
          <w:p w14:paraId="2297C6EF" w14:textId="77777777" w:rsidR="001A53CF" w:rsidRPr="00004B48" w:rsidRDefault="001A53CF" w:rsidP="000720E7">
            <w:pPr>
              <w:pStyle w:val="table2"/>
              <w:rPr>
                <w:sz w:val="21"/>
                <w:lang w:eastAsia="zh-CN"/>
              </w:rPr>
            </w:pPr>
            <w:r w:rsidRPr="00004B48">
              <w:rPr>
                <w:sz w:val="21"/>
                <w:lang w:eastAsia="zh-CN"/>
              </w:rPr>
              <w:t>0.992***</w:t>
            </w:r>
          </w:p>
        </w:tc>
        <w:tc>
          <w:tcPr>
            <w:tcW w:w="609" w:type="pct"/>
            <w:shd w:val="clear" w:color="auto" w:fill="auto"/>
            <w:vAlign w:val="bottom"/>
          </w:tcPr>
          <w:p w14:paraId="33B770F4" w14:textId="77777777" w:rsidR="001A53CF" w:rsidRPr="00004B48" w:rsidRDefault="001A53CF" w:rsidP="000720E7">
            <w:pPr>
              <w:pStyle w:val="table2"/>
              <w:rPr>
                <w:sz w:val="21"/>
                <w:lang w:eastAsia="zh-CN"/>
              </w:rPr>
            </w:pPr>
            <w:r w:rsidRPr="00004B48">
              <w:rPr>
                <w:sz w:val="21"/>
                <w:lang w:eastAsia="zh-CN"/>
              </w:rPr>
              <w:t>1.064***</w:t>
            </w:r>
          </w:p>
        </w:tc>
        <w:tc>
          <w:tcPr>
            <w:tcW w:w="609" w:type="pct"/>
          </w:tcPr>
          <w:p w14:paraId="1F7507FA" w14:textId="77777777" w:rsidR="001A53CF" w:rsidRPr="00004B48" w:rsidRDefault="001A53CF" w:rsidP="000720E7">
            <w:pPr>
              <w:pStyle w:val="table2"/>
              <w:rPr>
                <w:sz w:val="21"/>
                <w:lang w:eastAsia="zh-CN"/>
              </w:rPr>
            </w:pPr>
          </w:p>
        </w:tc>
        <w:tc>
          <w:tcPr>
            <w:tcW w:w="609" w:type="pct"/>
            <w:vAlign w:val="bottom"/>
          </w:tcPr>
          <w:p w14:paraId="67BFB24C" w14:textId="4E4D007D" w:rsidR="001A53CF" w:rsidRPr="00004B48" w:rsidRDefault="001A53CF" w:rsidP="000720E7">
            <w:pPr>
              <w:pStyle w:val="table2"/>
              <w:rPr>
                <w:sz w:val="21"/>
                <w:lang w:eastAsia="zh-CN"/>
              </w:rPr>
            </w:pPr>
            <w:r w:rsidRPr="00004B48">
              <w:rPr>
                <w:sz w:val="21"/>
                <w:lang w:eastAsia="zh-CN"/>
              </w:rPr>
              <w:t>0.699***</w:t>
            </w:r>
          </w:p>
        </w:tc>
        <w:tc>
          <w:tcPr>
            <w:tcW w:w="607" w:type="pct"/>
            <w:vAlign w:val="bottom"/>
          </w:tcPr>
          <w:p w14:paraId="4027FB74" w14:textId="7B188BE1" w:rsidR="001A53CF" w:rsidRPr="00004B48" w:rsidRDefault="001A53CF" w:rsidP="000720E7">
            <w:pPr>
              <w:pStyle w:val="table2"/>
              <w:rPr>
                <w:sz w:val="21"/>
                <w:lang w:eastAsia="zh-CN"/>
              </w:rPr>
            </w:pPr>
            <w:r w:rsidRPr="00004B48">
              <w:rPr>
                <w:sz w:val="21"/>
                <w:lang w:eastAsia="zh-CN"/>
              </w:rPr>
              <w:t>0.608***</w:t>
            </w:r>
          </w:p>
        </w:tc>
      </w:tr>
      <w:tr w:rsidR="001A53CF" w:rsidRPr="00E44A3E" w14:paraId="3C75E2C3" w14:textId="77777777" w:rsidTr="000720E7">
        <w:trPr>
          <w:trHeight w:val="57"/>
        </w:trPr>
        <w:tc>
          <w:tcPr>
            <w:tcW w:w="1349" w:type="pct"/>
            <w:shd w:val="clear" w:color="auto" w:fill="auto"/>
            <w:noWrap/>
            <w:vAlign w:val="bottom"/>
          </w:tcPr>
          <w:p w14:paraId="1C469DFA" w14:textId="77777777" w:rsidR="001A53CF" w:rsidRPr="00004B48" w:rsidRDefault="001A53CF" w:rsidP="000720E7">
            <w:pPr>
              <w:pStyle w:val="table2"/>
              <w:rPr>
                <w:sz w:val="21"/>
                <w:lang w:val="en-US"/>
              </w:rPr>
            </w:pPr>
          </w:p>
        </w:tc>
        <w:tc>
          <w:tcPr>
            <w:tcW w:w="608" w:type="pct"/>
          </w:tcPr>
          <w:p w14:paraId="5C273EFC" w14:textId="77777777" w:rsidR="001A53CF" w:rsidRPr="00004B48" w:rsidRDefault="001A53CF" w:rsidP="000720E7">
            <w:pPr>
              <w:pStyle w:val="table2"/>
              <w:rPr>
                <w:sz w:val="21"/>
                <w:lang w:val="en-US" w:eastAsia="zh-CN"/>
              </w:rPr>
            </w:pPr>
          </w:p>
        </w:tc>
        <w:tc>
          <w:tcPr>
            <w:tcW w:w="609" w:type="pct"/>
            <w:shd w:val="clear" w:color="auto" w:fill="auto"/>
            <w:noWrap/>
            <w:vAlign w:val="bottom"/>
          </w:tcPr>
          <w:p w14:paraId="68A8281B" w14:textId="77777777" w:rsidR="001A53CF" w:rsidRPr="00004B48" w:rsidRDefault="001A53CF" w:rsidP="000720E7">
            <w:pPr>
              <w:pStyle w:val="table2"/>
              <w:rPr>
                <w:sz w:val="21"/>
                <w:lang w:eastAsia="zh-CN"/>
              </w:rPr>
            </w:pPr>
            <w:r w:rsidRPr="00004B48">
              <w:rPr>
                <w:sz w:val="21"/>
                <w:lang w:eastAsia="zh-CN"/>
              </w:rPr>
              <w:t>(0.291)</w:t>
            </w:r>
          </w:p>
        </w:tc>
        <w:tc>
          <w:tcPr>
            <w:tcW w:w="609" w:type="pct"/>
            <w:shd w:val="clear" w:color="auto" w:fill="auto"/>
            <w:vAlign w:val="bottom"/>
          </w:tcPr>
          <w:p w14:paraId="1617767E" w14:textId="77777777" w:rsidR="001A53CF" w:rsidRPr="00004B48" w:rsidRDefault="001A53CF" w:rsidP="000720E7">
            <w:pPr>
              <w:pStyle w:val="table2"/>
              <w:rPr>
                <w:sz w:val="21"/>
                <w:lang w:eastAsia="zh-CN"/>
              </w:rPr>
            </w:pPr>
            <w:r w:rsidRPr="00004B48">
              <w:rPr>
                <w:sz w:val="21"/>
                <w:lang w:eastAsia="zh-CN"/>
              </w:rPr>
              <w:t>(0.328)</w:t>
            </w:r>
          </w:p>
        </w:tc>
        <w:tc>
          <w:tcPr>
            <w:tcW w:w="609" w:type="pct"/>
          </w:tcPr>
          <w:p w14:paraId="1D297BB8" w14:textId="77777777" w:rsidR="001A53CF" w:rsidRPr="00004B48" w:rsidRDefault="001A53CF" w:rsidP="000720E7">
            <w:pPr>
              <w:pStyle w:val="table2"/>
              <w:rPr>
                <w:sz w:val="21"/>
                <w:lang w:eastAsia="zh-CN"/>
              </w:rPr>
            </w:pPr>
          </w:p>
        </w:tc>
        <w:tc>
          <w:tcPr>
            <w:tcW w:w="609" w:type="pct"/>
            <w:vAlign w:val="bottom"/>
          </w:tcPr>
          <w:p w14:paraId="5B7C014F" w14:textId="77BB3A16" w:rsidR="001A53CF" w:rsidRPr="00004B48" w:rsidRDefault="001A53CF" w:rsidP="000720E7">
            <w:pPr>
              <w:pStyle w:val="table2"/>
              <w:rPr>
                <w:sz w:val="21"/>
                <w:lang w:eastAsia="zh-CN"/>
              </w:rPr>
            </w:pPr>
            <w:r w:rsidRPr="00004B48">
              <w:rPr>
                <w:sz w:val="21"/>
                <w:lang w:eastAsia="zh-CN"/>
              </w:rPr>
              <w:t>(0.083)</w:t>
            </w:r>
          </w:p>
        </w:tc>
        <w:tc>
          <w:tcPr>
            <w:tcW w:w="607" w:type="pct"/>
            <w:vAlign w:val="bottom"/>
          </w:tcPr>
          <w:p w14:paraId="3F4B07C5" w14:textId="64B047DD" w:rsidR="001A53CF" w:rsidRPr="00004B48" w:rsidRDefault="001A53CF" w:rsidP="000720E7">
            <w:pPr>
              <w:pStyle w:val="table2"/>
              <w:rPr>
                <w:sz w:val="21"/>
                <w:lang w:eastAsia="zh-CN"/>
              </w:rPr>
            </w:pPr>
            <w:r w:rsidRPr="00004B48">
              <w:rPr>
                <w:sz w:val="21"/>
                <w:lang w:eastAsia="zh-CN"/>
              </w:rPr>
              <w:t>(0.094)</w:t>
            </w:r>
          </w:p>
        </w:tc>
      </w:tr>
      <w:tr w:rsidR="001A53CF" w:rsidRPr="00E44A3E" w14:paraId="531F6074" w14:textId="77777777" w:rsidTr="000720E7">
        <w:trPr>
          <w:trHeight w:val="57"/>
        </w:trPr>
        <w:tc>
          <w:tcPr>
            <w:tcW w:w="1349" w:type="pct"/>
            <w:shd w:val="clear" w:color="auto" w:fill="auto"/>
            <w:noWrap/>
            <w:vAlign w:val="bottom"/>
          </w:tcPr>
          <w:p w14:paraId="118936A6" w14:textId="77777777" w:rsidR="001A53CF" w:rsidRPr="00004B48" w:rsidRDefault="001A53CF" w:rsidP="000720E7">
            <w:pPr>
              <w:pStyle w:val="table2"/>
              <w:rPr>
                <w:sz w:val="21"/>
                <w:lang w:val="en-US"/>
              </w:rPr>
            </w:pPr>
            <w:r w:rsidRPr="00004B48">
              <w:rPr>
                <w:sz w:val="21"/>
                <w:lang w:val="en-US"/>
              </w:rPr>
              <w:t>Support program*survivor</w:t>
            </w:r>
          </w:p>
        </w:tc>
        <w:tc>
          <w:tcPr>
            <w:tcW w:w="608" w:type="pct"/>
          </w:tcPr>
          <w:p w14:paraId="58022FAE" w14:textId="77777777" w:rsidR="001A53CF" w:rsidRPr="00004B48" w:rsidRDefault="001A53CF" w:rsidP="000720E7">
            <w:pPr>
              <w:pStyle w:val="table2"/>
              <w:rPr>
                <w:sz w:val="21"/>
                <w:lang w:val="en-US" w:eastAsia="zh-CN"/>
              </w:rPr>
            </w:pPr>
          </w:p>
        </w:tc>
        <w:tc>
          <w:tcPr>
            <w:tcW w:w="609" w:type="pct"/>
            <w:shd w:val="clear" w:color="auto" w:fill="auto"/>
            <w:noWrap/>
            <w:vAlign w:val="bottom"/>
          </w:tcPr>
          <w:p w14:paraId="66EC1AF2" w14:textId="77777777" w:rsidR="001A53CF" w:rsidRPr="00004B48" w:rsidRDefault="001A53CF" w:rsidP="000720E7">
            <w:pPr>
              <w:pStyle w:val="table2"/>
              <w:rPr>
                <w:sz w:val="21"/>
                <w:lang w:eastAsia="zh-CN"/>
              </w:rPr>
            </w:pPr>
          </w:p>
        </w:tc>
        <w:tc>
          <w:tcPr>
            <w:tcW w:w="609" w:type="pct"/>
            <w:shd w:val="clear" w:color="auto" w:fill="auto"/>
            <w:vAlign w:val="bottom"/>
          </w:tcPr>
          <w:p w14:paraId="0AD2B5F8" w14:textId="77777777" w:rsidR="001A53CF" w:rsidRPr="00004B48" w:rsidRDefault="001A53CF" w:rsidP="000720E7">
            <w:pPr>
              <w:pStyle w:val="table2"/>
              <w:rPr>
                <w:sz w:val="21"/>
                <w:lang w:eastAsia="zh-CN"/>
              </w:rPr>
            </w:pPr>
            <w:r w:rsidRPr="00004B48">
              <w:rPr>
                <w:sz w:val="21"/>
                <w:lang w:eastAsia="zh-CN"/>
              </w:rPr>
              <w:t>-0.337</w:t>
            </w:r>
          </w:p>
        </w:tc>
        <w:tc>
          <w:tcPr>
            <w:tcW w:w="609" w:type="pct"/>
          </w:tcPr>
          <w:p w14:paraId="509BAED4" w14:textId="77777777" w:rsidR="001A53CF" w:rsidRPr="00004B48" w:rsidRDefault="001A53CF" w:rsidP="000720E7">
            <w:pPr>
              <w:pStyle w:val="table2"/>
              <w:rPr>
                <w:sz w:val="21"/>
                <w:lang w:eastAsia="zh-CN"/>
              </w:rPr>
            </w:pPr>
          </w:p>
        </w:tc>
        <w:tc>
          <w:tcPr>
            <w:tcW w:w="609" w:type="pct"/>
            <w:vAlign w:val="bottom"/>
          </w:tcPr>
          <w:p w14:paraId="7F8EDCA5" w14:textId="77777777" w:rsidR="001A53CF" w:rsidRPr="00004B48" w:rsidRDefault="001A53CF" w:rsidP="000720E7">
            <w:pPr>
              <w:pStyle w:val="table2"/>
              <w:rPr>
                <w:sz w:val="21"/>
                <w:lang w:eastAsia="zh-CN"/>
              </w:rPr>
            </w:pPr>
          </w:p>
        </w:tc>
        <w:tc>
          <w:tcPr>
            <w:tcW w:w="607" w:type="pct"/>
            <w:vAlign w:val="bottom"/>
          </w:tcPr>
          <w:p w14:paraId="26B399C8" w14:textId="59C1DC73" w:rsidR="001A53CF" w:rsidRPr="00004B48" w:rsidRDefault="001A53CF" w:rsidP="000720E7">
            <w:pPr>
              <w:pStyle w:val="table2"/>
              <w:rPr>
                <w:sz w:val="21"/>
                <w:lang w:eastAsia="zh-CN"/>
              </w:rPr>
            </w:pPr>
            <w:r w:rsidRPr="00004B48">
              <w:rPr>
                <w:sz w:val="21"/>
                <w:lang w:eastAsia="zh-CN"/>
              </w:rPr>
              <w:t>0.410**</w:t>
            </w:r>
          </w:p>
        </w:tc>
      </w:tr>
      <w:tr w:rsidR="001A53CF" w:rsidRPr="00E44A3E" w14:paraId="6D2FBC93" w14:textId="77777777" w:rsidTr="000720E7">
        <w:trPr>
          <w:trHeight w:val="57"/>
        </w:trPr>
        <w:tc>
          <w:tcPr>
            <w:tcW w:w="1349" w:type="pct"/>
            <w:shd w:val="clear" w:color="auto" w:fill="auto"/>
            <w:noWrap/>
            <w:vAlign w:val="bottom"/>
          </w:tcPr>
          <w:p w14:paraId="75C410F6" w14:textId="77777777" w:rsidR="001A53CF" w:rsidRPr="00004B48" w:rsidRDefault="001A53CF" w:rsidP="000720E7">
            <w:pPr>
              <w:pStyle w:val="table2"/>
              <w:rPr>
                <w:sz w:val="21"/>
                <w:lang w:val="en-US"/>
              </w:rPr>
            </w:pPr>
          </w:p>
        </w:tc>
        <w:tc>
          <w:tcPr>
            <w:tcW w:w="608" w:type="pct"/>
          </w:tcPr>
          <w:p w14:paraId="7DCBB0DD" w14:textId="77777777" w:rsidR="001A53CF" w:rsidRPr="00004B48" w:rsidRDefault="001A53CF" w:rsidP="000720E7">
            <w:pPr>
              <w:pStyle w:val="table2"/>
              <w:rPr>
                <w:sz w:val="21"/>
                <w:lang w:val="en-US" w:eastAsia="zh-CN"/>
              </w:rPr>
            </w:pPr>
          </w:p>
        </w:tc>
        <w:tc>
          <w:tcPr>
            <w:tcW w:w="609" w:type="pct"/>
            <w:shd w:val="clear" w:color="auto" w:fill="auto"/>
            <w:noWrap/>
            <w:vAlign w:val="bottom"/>
          </w:tcPr>
          <w:p w14:paraId="0A4D0619" w14:textId="77777777" w:rsidR="001A53CF" w:rsidRPr="00004B48" w:rsidRDefault="001A53CF" w:rsidP="000720E7">
            <w:pPr>
              <w:pStyle w:val="table2"/>
              <w:rPr>
                <w:sz w:val="21"/>
                <w:lang w:eastAsia="zh-CN"/>
              </w:rPr>
            </w:pPr>
          </w:p>
        </w:tc>
        <w:tc>
          <w:tcPr>
            <w:tcW w:w="609" w:type="pct"/>
            <w:shd w:val="clear" w:color="auto" w:fill="auto"/>
            <w:vAlign w:val="bottom"/>
          </w:tcPr>
          <w:p w14:paraId="47EFB1A4" w14:textId="77777777" w:rsidR="001A53CF" w:rsidRPr="00004B48" w:rsidRDefault="001A53CF" w:rsidP="000720E7">
            <w:pPr>
              <w:pStyle w:val="table2"/>
              <w:rPr>
                <w:sz w:val="21"/>
                <w:lang w:eastAsia="zh-CN"/>
              </w:rPr>
            </w:pPr>
            <w:r w:rsidRPr="00004B48">
              <w:rPr>
                <w:sz w:val="21"/>
                <w:lang w:eastAsia="zh-CN"/>
              </w:rPr>
              <w:t>(0.712)</w:t>
            </w:r>
          </w:p>
        </w:tc>
        <w:tc>
          <w:tcPr>
            <w:tcW w:w="609" w:type="pct"/>
          </w:tcPr>
          <w:p w14:paraId="517EC222" w14:textId="77777777" w:rsidR="001A53CF" w:rsidRPr="00004B48" w:rsidRDefault="001A53CF" w:rsidP="000720E7">
            <w:pPr>
              <w:pStyle w:val="table2"/>
              <w:rPr>
                <w:sz w:val="21"/>
                <w:lang w:eastAsia="zh-CN"/>
              </w:rPr>
            </w:pPr>
          </w:p>
        </w:tc>
        <w:tc>
          <w:tcPr>
            <w:tcW w:w="609" w:type="pct"/>
            <w:vAlign w:val="bottom"/>
          </w:tcPr>
          <w:p w14:paraId="06EA7F3A" w14:textId="77777777" w:rsidR="001A53CF" w:rsidRPr="00004B48" w:rsidRDefault="001A53CF" w:rsidP="000720E7">
            <w:pPr>
              <w:pStyle w:val="table2"/>
              <w:rPr>
                <w:sz w:val="21"/>
                <w:lang w:eastAsia="zh-CN"/>
              </w:rPr>
            </w:pPr>
          </w:p>
        </w:tc>
        <w:tc>
          <w:tcPr>
            <w:tcW w:w="607" w:type="pct"/>
            <w:vAlign w:val="bottom"/>
          </w:tcPr>
          <w:p w14:paraId="6D1F849F" w14:textId="7D330895" w:rsidR="001A53CF" w:rsidRPr="00004B48" w:rsidRDefault="001A53CF" w:rsidP="000720E7">
            <w:pPr>
              <w:pStyle w:val="table2"/>
              <w:rPr>
                <w:sz w:val="21"/>
                <w:lang w:eastAsia="zh-CN"/>
              </w:rPr>
            </w:pPr>
            <w:r w:rsidRPr="00004B48">
              <w:rPr>
                <w:sz w:val="21"/>
                <w:lang w:eastAsia="zh-CN"/>
              </w:rPr>
              <w:t>(0.200)</w:t>
            </w:r>
          </w:p>
        </w:tc>
      </w:tr>
      <w:tr w:rsidR="001A53CF" w:rsidRPr="00E44A3E" w14:paraId="26AAEA93" w14:textId="77777777" w:rsidTr="000720E7">
        <w:trPr>
          <w:trHeight w:val="57"/>
        </w:trPr>
        <w:tc>
          <w:tcPr>
            <w:tcW w:w="1349" w:type="pct"/>
            <w:shd w:val="clear" w:color="auto" w:fill="auto"/>
            <w:noWrap/>
            <w:vAlign w:val="bottom"/>
          </w:tcPr>
          <w:p w14:paraId="5B623422" w14:textId="77777777" w:rsidR="001A53CF" w:rsidRPr="00004B48" w:rsidRDefault="001A53CF" w:rsidP="000720E7">
            <w:pPr>
              <w:pStyle w:val="table2"/>
              <w:rPr>
                <w:sz w:val="21"/>
                <w:lang w:val="en-US"/>
              </w:rPr>
            </w:pPr>
            <w:r w:rsidRPr="00004B48">
              <w:rPr>
                <w:sz w:val="21"/>
                <w:lang w:val="en-US"/>
              </w:rPr>
              <w:t>Constant</w:t>
            </w:r>
          </w:p>
        </w:tc>
        <w:tc>
          <w:tcPr>
            <w:tcW w:w="608" w:type="pct"/>
          </w:tcPr>
          <w:p w14:paraId="6176E95F" w14:textId="77777777" w:rsidR="001A53CF" w:rsidRPr="00004B48" w:rsidRDefault="001A53CF" w:rsidP="000720E7">
            <w:pPr>
              <w:pStyle w:val="table2"/>
              <w:rPr>
                <w:sz w:val="21"/>
                <w:lang w:val="en-US" w:eastAsia="zh-CN"/>
              </w:rPr>
            </w:pPr>
            <w:r w:rsidRPr="00004B48">
              <w:rPr>
                <w:sz w:val="21"/>
                <w:lang w:val="en-US" w:eastAsia="zh-CN"/>
              </w:rPr>
              <w:t>11.370***</w:t>
            </w:r>
          </w:p>
        </w:tc>
        <w:tc>
          <w:tcPr>
            <w:tcW w:w="609" w:type="pct"/>
            <w:shd w:val="clear" w:color="auto" w:fill="auto"/>
            <w:noWrap/>
            <w:vAlign w:val="bottom"/>
          </w:tcPr>
          <w:p w14:paraId="29E3C65E" w14:textId="77777777" w:rsidR="001A53CF" w:rsidRPr="00004B48" w:rsidRDefault="001A53CF" w:rsidP="000720E7">
            <w:pPr>
              <w:pStyle w:val="table2"/>
              <w:rPr>
                <w:sz w:val="21"/>
                <w:lang w:eastAsia="zh-CN"/>
              </w:rPr>
            </w:pPr>
            <w:r w:rsidRPr="00004B48">
              <w:rPr>
                <w:sz w:val="21"/>
                <w:lang w:eastAsia="zh-CN"/>
              </w:rPr>
              <w:t>10.206***</w:t>
            </w:r>
          </w:p>
        </w:tc>
        <w:tc>
          <w:tcPr>
            <w:tcW w:w="609" w:type="pct"/>
            <w:shd w:val="clear" w:color="auto" w:fill="auto"/>
            <w:vAlign w:val="bottom"/>
          </w:tcPr>
          <w:p w14:paraId="223DCA5C" w14:textId="77777777" w:rsidR="001A53CF" w:rsidRPr="00004B48" w:rsidRDefault="001A53CF" w:rsidP="000720E7">
            <w:pPr>
              <w:pStyle w:val="table2"/>
              <w:rPr>
                <w:sz w:val="21"/>
                <w:lang w:eastAsia="zh-CN"/>
              </w:rPr>
            </w:pPr>
            <w:r w:rsidRPr="00004B48">
              <w:rPr>
                <w:sz w:val="21"/>
                <w:lang w:eastAsia="zh-CN"/>
              </w:rPr>
              <w:t>10.224***</w:t>
            </w:r>
          </w:p>
        </w:tc>
        <w:tc>
          <w:tcPr>
            <w:tcW w:w="609" w:type="pct"/>
          </w:tcPr>
          <w:p w14:paraId="3788E677" w14:textId="29DD300B" w:rsidR="001A53CF" w:rsidRPr="00004B48" w:rsidRDefault="001A53CF" w:rsidP="000720E7">
            <w:pPr>
              <w:pStyle w:val="table2"/>
              <w:rPr>
                <w:sz w:val="21"/>
                <w:lang w:eastAsia="zh-CN"/>
              </w:rPr>
            </w:pPr>
            <w:r w:rsidRPr="00004B48">
              <w:rPr>
                <w:sz w:val="21"/>
                <w:lang w:eastAsia="zh-CN"/>
              </w:rPr>
              <w:t>2.387***</w:t>
            </w:r>
          </w:p>
        </w:tc>
        <w:tc>
          <w:tcPr>
            <w:tcW w:w="609" w:type="pct"/>
            <w:vAlign w:val="bottom"/>
          </w:tcPr>
          <w:p w14:paraId="19FE422B" w14:textId="2588EFD6" w:rsidR="001A53CF" w:rsidRPr="00004B48" w:rsidRDefault="001A53CF" w:rsidP="000720E7">
            <w:pPr>
              <w:pStyle w:val="table2"/>
              <w:rPr>
                <w:sz w:val="21"/>
                <w:lang w:eastAsia="zh-CN"/>
              </w:rPr>
            </w:pPr>
            <w:r w:rsidRPr="00004B48">
              <w:rPr>
                <w:sz w:val="21"/>
                <w:lang w:eastAsia="zh-CN"/>
              </w:rPr>
              <w:t>1.772***</w:t>
            </w:r>
          </w:p>
        </w:tc>
        <w:tc>
          <w:tcPr>
            <w:tcW w:w="607" w:type="pct"/>
            <w:vAlign w:val="bottom"/>
          </w:tcPr>
          <w:p w14:paraId="4A3D246B" w14:textId="1165B66B" w:rsidR="001A53CF" w:rsidRPr="00004B48" w:rsidRDefault="001A53CF" w:rsidP="000720E7">
            <w:pPr>
              <w:pStyle w:val="table2"/>
              <w:rPr>
                <w:sz w:val="21"/>
                <w:lang w:eastAsia="zh-CN"/>
              </w:rPr>
            </w:pPr>
            <w:r w:rsidRPr="00004B48">
              <w:rPr>
                <w:sz w:val="21"/>
                <w:lang w:eastAsia="zh-CN"/>
              </w:rPr>
              <w:t>1.753***</w:t>
            </w:r>
          </w:p>
        </w:tc>
      </w:tr>
      <w:tr w:rsidR="001A53CF" w:rsidRPr="00E44A3E" w14:paraId="678261D6" w14:textId="77777777" w:rsidTr="000720E7">
        <w:trPr>
          <w:trHeight w:val="57"/>
        </w:trPr>
        <w:tc>
          <w:tcPr>
            <w:tcW w:w="1349" w:type="pct"/>
            <w:tcBorders>
              <w:bottom w:val="single" w:sz="4" w:space="0" w:color="auto"/>
            </w:tcBorders>
            <w:shd w:val="clear" w:color="auto" w:fill="auto"/>
            <w:noWrap/>
            <w:vAlign w:val="bottom"/>
          </w:tcPr>
          <w:p w14:paraId="05F5CABE" w14:textId="77777777" w:rsidR="001A53CF" w:rsidRPr="00004B48" w:rsidRDefault="001A53CF" w:rsidP="000720E7">
            <w:pPr>
              <w:pStyle w:val="table2"/>
              <w:rPr>
                <w:sz w:val="21"/>
                <w:lang w:val="en-US"/>
              </w:rPr>
            </w:pPr>
          </w:p>
        </w:tc>
        <w:tc>
          <w:tcPr>
            <w:tcW w:w="608" w:type="pct"/>
            <w:tcBorders>
              <w:bottom w:val="single" w:sz="4" w:space="0" w:color="auto"/>
            </w:tcBorders>
          </w:tcPr>
          <w:p w14:paraId="416F9D7C" w14:textId="77777777" w:rsidR="001A53CF" w:rsidRPr="00004B48" w:rsidRDefault="001A53CF" w:rsidP="000720E7">
            <w:pPr>
              <w:pStyle w:val="table2"/>
              <w:rPr>
                <w:sz w:val="21"/>
                <w:lang w:val="en-US" w:eastAsia="zh-CN"/>
              </w:rPr>
            </w:pPr>
            <w:r w:rsidRPr="00004B48">
              <w:rPr>
                <w:sz w:val="21"/>
                <w:lang w:val="en-US" w:eastAsia="zh-CN"/>
              </w:rPr>
              <w:t>(0.147)</w:t>
            </w:r>
          </w:p>
        </w:tc>
        <w:tc>
          <w:tcPr>
            <w:tcW w:w="609" w:type="pct"/>
            <w:tcBorders>
              <w:bottom w:val="single" w:sz="4" w:space="0" w:color="auto"/>
            </w:tcBorders>
            <w:shd w:val="clear" w:color="auto" w:fill="auto"/>
            <w:noWrap/>
            <w:vAlign w:val="bottom"/>
          </w:tcPr>
          <w:p w14:paraId="71F97C4E" w14:textId="77777777" w:rsidR="001A53CF" w:rsidRPr="00004B48" w:rsidRDefault="001A53CF" w:rsidP="000720E7">
            <w:pPr>
              <w:pStyle w:val="table2"/>
              <w:rPr>
                <w:sz w:val="21"/>
                <w:lang w:eastAsia="zh-CN"/>
              </w:rPr>
            </w:pPr>
            <w:r w:rsidRPr="00004B48">
              <w:rPr>
                <w:sz w:val="21"/>
                <w:lang w:eastAsia="zh-CN"/>
              </w:rPr>
              <w:t>(0.253)</w:t>
            </w:r>
          </w:p>
        </w:tc>
        <w:tc>
          <w:tcPr>
            <w:tcW w:w="609" w:type="pct"/>
            <w:tcBorders>
              <w:bottom w:val="single" w:sz="4" w:space="0" w:color="auto"/>
            </w:tcBorders>
            <w:shd w:val="clear" w:color="auto" w:fill="auto"/>
            <w:vAlign w:val="bottom"/>
          </w:tcPr>
          <w:p w14:paraId="0B22A983" w14:textId="77777777" w:rsidR="001A53CF" w:rsidRPr="00004B48" w:rsidRDefault="001A53CF" w:rsidP="000720E7">
            <w:pPr>
              <w:pStyle w:val="table2"/>
              <w:rPr>
                <w:sz w:val="21"/>
                <w:lang w:eastAsia="zh-CN"/>
              </w:rPr>
            </w:pPr>
            <w:r w:rsidRPr="00004B48">
              <w:rPr>
                <w:sz w:val="21"/>
                <w:lang w:eastAsia="zh-CN"/>
              </w:rPr>
              <w:t>(0.280)</w:t>
            </w:r>
          </w:p>
        </w:tc>
        <w:tc>
          <w:tcPr>
            <w:tcW w:w="609" w:type="pct"/>
            <w:tcBorders>
              <w:bottom w:val="single" w:sz="4" w:space="0" w:color="auto"/>
            </w:tcBorders>
          </w:tcPr>
          <w:p w14:paraId="4BCDACBA" w14:textId="0613D9E7" w:rsidR="001A53CF" w:rsidRPr="00004B48" w:rsidRDefault="001A53CF" w:rsidP="000720E7">
            <w:pPr>
              <w:pStyle w:val="table2"/>
              <w:rPr>
                <w:sz w:val="21"/>
                <w:lang w:eastAsia="zh-CN"/>
              </w:rPr>
            </w:pPr>
            <w:r w:rsidRPr="00004B48">
              <w:rPr>
                <w:sz w:val="21"/>
                <w:lang w:eastAsia="zh-CN"/>
              </w:rPr>
              <w:t>(0.043)</w:t>
            </w:r>
          </w:p>
        </w:tc>
        <w:tc>
          <w:tcPr>
            <w:tcW w:w="609" w:type="pct"/>
            <w:tcBorders>
              <w:bottom w:val="single" w:sz="4" w:space="0" w:color="auto"/>
            </w:tcBorders>
            <w:vAlign w:val="bottom"/>
          </w:tcPr>
          <w:p w14:paraId="2C6846DF" w14:textId="429B1AC8" w:rsidR="001A53CF" w:rsidRPr="00004B48" w:rsidRDefault="001A53CF" w:rsidP="000720E7">
            <w:pPr>
              <w:pStyle w:val="table2"/>
              <w:rPr>
                <w:sz w:val="21"/>
                <w:lang w:eastAsia="zh-CN"/>
              </w:rPr>
            </w:pPr>
            <w:r w:rsidRPr="00004B48">
              <w:rPr>
                <w:sz w:val="21"/>
                <w:lang w:eastAsia="zh-CN"/>
              </w:rPr>
              <w:t>(0.071)</w:t>
            </w:r>
          </w:p>
        </w:tc>
        <w:tc>
          <w:tcPr>
            <w:tcW w:w="607" w:type="pct"/>
            <w:tcBorders>
              <w:bottom w:val="single" w:sz="4" w:space="0" w:color="auto"/>
            </w:tcBorders>
            <w:vAlign w:val="bottom"/>
          </w:tcPr>
          <w:p w14:paraId="377390AF" w14:textId="535F3668" w:rsidR="001A53CF" w:rsidRPr="00004B48" w:rsidRDefault="001A53CF" w:rsidP="000720E7">
            <w:pPr>
              <w:pStyle w:val="table2"/>
              <w:rPr>
                <w:sz w:val="21"/>
                <w:lang w:eastAsia="zh-CN"/>
              </w:rPr>
            </w:pPr>
            <w:r w:rsidRPr="00004B48">
              <w:rPr>
                <w:sz w:val="21"/>
                <w:lang w:eastAsia="zh-CN"/>
              </w:rPr>
              <w:t>(0.072)</w:t>
            </w:r>
          </w:p>
        </w:tc>
      </w:tr>
      <w:tr w:rsidR="001A53CF" w:rsidRPr="00E44A3E" w14:paraId="7127E055" w14:textId="77777777" w:rsidTr="00004B48">
        <w:trPr>
          <w:trHeight w:val="57"/>
        </w:trPr>
        <w:tc>
          <w:tcPr>
            <w:tcW w:w="1349" w:type="pct"/>
            <w:tcBorders>
              <w:top w:val="single" w:sz="4" w:space="0" w:color="auto"/>
            </w:tcBorders>
            <w:shd w:val="clear" w:color="auto" w:fill="auto"/>
            <w:noWrap/>
            <w:vAlign w:val="bottom"/>
          </w:tcPr>
          <w:p w14:paraId="0FF04DE6" w14:textId="77777777" w:rsidR="001A53CF" w:rsidRPr="00004B48" w:rsidRDefault="001A53CF" w:rsidP="000720E7">
            <w:pPr>
              <w:pStyle w:val="table2"/>
              <w:rPr>
                <w:sz w:val="21"/>
                <w:lang w:val="en-US" w:eastAsia="zh-CN"/>
              </w:rPr>
            </w:pPr>
            <w:r w:rsidRPr="00004B48">
              <w:rPr>
                <w:sz w:val="21"/>
                <w:lang w:val="en-US" w:eastAsia="zh-CN"/>
              </w:rPr>
              <w:t>Sigma_u</w:t>
            </w:r>
          </w:p>
        </w:tc>
        <w:tc>
          <w:tcPr>
            <w:tcW w:w="608" w:type="pct"/>
            <w:tcBorders>
              <w:top w:val="single" w:sz="4" w:space="0" w:color="auto"/>
            </w:tcBorders>
            <w:vAlign w:val="bottom"/>
          </w:tcPr>
          <w:p w14:paraId="10E92D66" w14:textId="77777777" w:rsidR="001A53CF" w:rsidRPr="00004B48" w:rsidRDefault="001A53CF" w:rsidP="000720E7">
            <w:pPr>
              <w:pStyle w:val="table2"/>
              <w:rPr>
                <w:sz w:val="21"/>
                <w:lang w:eastAsia="zh-CN"/>
              </w:rPr>
            </w:pPr>
            <w:r w:rsidRPr="00004B48">
              <w:rPr>
                <w:sz w:val="21"/>
                <w:lang w:eastAsia="zh-CN"/>
              </w:rPr>
              <w:t>1.839</w:t>
            </w:r>
          </w:p>
        </w:tc>
        <w:tc>
          <w:tcPr>
            <w:tcW w:w="609" w:type="pct"/>
            <w:tcBorders>
              <w:top w:val="single" w:sz="4" w:space="0" w:color="auto"/>
            </w:tcBorders>
            <w:shd w:val="clear" w:color="auto" w:fill="auto"/>
            <w:noWrap/>
            <w:vAlign w:val="bottom"/>
          </w:tcPr>
          <w:p w14:paraId="5C7F6869" w14:textId="77777777" w:rsidR="001A53CF" w:rsidRPr="00004B48" w:rsidRDefault="001A53CF" w:rsidP="000720E7">
            <w:pPr>
              <w:pStyle w:val="table2"/>
              <w:rPr>
                <w:sz w:val="21"/>
                <w:lang w:eastAsia="zh-CN"/>
              </w:rPr>
            </w:pPr>
            <w:r w:rsidRPr="00004B48">
              <w:rPr>
                <w:sz w:val="21"/>
                <w:lang w:eastAsia="zh-CN"/>
              </w:rPr>
              <w:t>1.666</w:t>
            </w:r>
          </w:p>
        </w:tc>
        <w:tc>
          <w:tcPr>
            <w:tcW w:w="609" w:type="pct"/>
            <w:tcBorders>
              <w:top w:val="single" w:sz="4" w:space="0" w:color="auto"/>
            </w:tcBorders>
            <w:shd w:val="clear" w:color="auto" w:fill="auto"/>
            <w:vAlign w:val="bottom"/>
          </w:tcPr>
          <w:p w14:paraId="1ED5737E" w14:textId="77777777" w:rsidR="001A53CF" w:rsidRPr="00004B48" w:rsidRDefault="001A53CF" w:rsidP="000720E7">
            <w:pPr>
              <w:pStyle w:val="table2"/>
              <w:rPr>
                <w:sz w:val="21"/>
                <w:lang w:eastAsia="zh-CN"/>
              </w:rPr>
            </w:pPr>
            <w:r w:rsidRPr="00004B48">
              <w:rPr>
                <w:sz w:val="21"/>
                <w:lang w:eastAsia="zh-CN"/>
              </w:rPr>
              <w:t>1.630</w:t>
            </w:r>
          </w:p>
        </w:tc>
        <w:tc>
          <w:tcPr>
            <w:tcW w:w="609" w:type="pct"/>
            <w:tcBorders>
              <w:top w:val="single" w:sz="4" w:space="0" w:color="auto"/>
            </w:tcBorders>
            <w:vAlign w:val="bottom"/>
          </w:tcPr>
          <w:p w14:paraId="7DBC5919" w14:textId="06B72620" w:rsidR="001A53CF" w:rsidRPr="00004B48" w:rsidRDefault="001A53CF" w:rsidP="000720E7">
            <w:pPr>
              <w:pStyle w:val="table2"/>
              <w:rPr>
                <w:sz w:val="21"/>
                <w:lang w:eastAsia="zh-CN"/>
              </w:rPr>
            </w:pPr>
            <w:r w:rsidRPr="00004B48">
              <w:rPr>
                <w:sz w:val="21"/>
                <w:lang w:eastAsia="zh-CN"/>
              </w:rPr>
              <w:t>0.543</w:t>
            </w:r>
          </w:p>
        </w:tc>
        <w:tc>
          <w:tcPr>
            <w:tcW w:w="609" w:type="pct"/>
            <w:tcBorders>
              <w:top w:val="single" w:sz="4" w:space="0" w:color="auto"/>
            </w:tcBorders>
            <w:vAlign w:val="bottom"/>
          </w:tcPr>
          <w:p w14:paraId="3DB31A5B" w14:textId="3B3E5425" w:rsidR="001A53CF" w:rsidRPr="00004B48" w:rsidRDefault="001A53CF" w:rsidP="000720E7">
            <w:pPr>
              <w:pStyle w:val="table2"/>
              <w:rPr>
                <w:sz w:val="21"/>
                <w:lang w:eastAsia="zh-CN"/>
              </w:rPr>
            </w:pPr>
            <w:r w:rsidRPr="00004B48">
              <w:rPr>
                <w:sz w:val="21"/>
                <w:lang w:eastAsia="zh-CN"/>
              </w:rPr>
              <w:t>0.438</w:t>
            </w:r>
          </w:p>
        </w:tc>
        <w:tc>
          <w:tcPr>
            <w:tcW w:w="607" w:type="pct"/>
            <w:tcBorders>
              <w:top w:val="single" w:sz="4" w:space="0" w:color="auto"/>
            </w:tcBorders>
            <w:vAlign w:val="bottom"/>
          </w:tcPr>
          <w:p w14:paraId="1B06DBB8" w14:textId="612EE3F5" w:rsidR="001A53CF" w:rsidRPr="00004B48" w:rsidRDefault="001A53CF" w:rsidP="000720E7">
            <w:pPr>
              <w:pStyle w:val="table2"/>
              <w:rPr>
                <w:sz w:val="21"/>
                <w:lang w:eastAsia="zh-CN"/>
              </w:rPr>
            </w:pPr>
            <w:r w:rsidRPr="00004B48">
              <w:rPr>
                <w:sz w:val="21"/>
                <w:lang w:eastAsia="zh-CN"/>
              </w:rPr>
              <w:t>0.466</w:t>
            </w:r>
          </w:p>
        </w:tc>
      </w:tr>
      <w:tr w:rsidR="001A53CF" w:rsidRPr="00E44A3E" w14:paraId="4403D16E" w14:textId="77777777" w:rsidTr="00004B48">
        <w:trPr>
          <w:trHeight w:val="57"/>
        </w:trPr>
        <w:tc>
          <w:tcPr>
            <w:tcW w:w="1349" w:type="pct"/>
            <w:shd w:val="clear" w:color="auto" w:fill="auto"/>
            <w:noWrap/>
            <w:vAlign w:val="bottom"/>
          </w:tcPr>
          <w:p w14:paraId="21D60974" w14:textId="77777777" w:rsidR="001A53CF" w:rsidRPr="00004B48" w:rsidRDefault="001A53CF" w:rsidP="000720E7">
            <w:pPr>
              <w:pStyle w:val="table2"/>
              <w:rPr>
                <w:sz w:val="21"/>
                <w:lang w:val="en-US" w:eastAsia="zh-CN"/>
              </w:rPr>
            </w:pPr>
            <w:r w:rsidRPr="00004B48">
              <w:rPr>
                <w:sz w:val="21"/>
                <w:lang w:val="en-US" w:eastAsia="zh-CN"/>
              </w:rPr>
              <w:t>Sigma_e</w:t>
            </w:r>
          </w:p>
        </w:tc>
        <w:tc>
          <w:tcPr>
            <w:tcW w:w="608" w:type="pct"/>
            <w:vAlign w:val="bottom"/>
          </w:tcPr>
          <w:p w14:paraId="2B356243" w14:textId="77777777" w:rsidR="001A53CF" w:rsidRPr="00004B48" w:rsidRDefault="001A53CF" w:rsidP="000720E7">
            <w:pPr>
              <w:pStyle w:val="table2"/>
              <w:rPr>
                <w:sz w:val="21"/>
                <w:lang w:eastAsia="zh-CN"/>
              </w:rPr>
            </w:pPr>
            <w:r w:rsidRPr="00004B48">
              <w:rPr>
                <w:sz w:val="21"/>
                <w:lang w:eastAsia="zh-CN"/>
              </w:rPr>
              <w:t>3.260</w:t>
            </w:r>
          </w:p>
        </w:tc>
        <w:tc>
          <w:tcPr>
            <w:tcW w:w="609" w:type="pct"/>
            <w:shd w:val="clear" w:color="auto" w:fill="auto"/>
            <w:noWrap/>
            <w:vAlign w:val="bottom"/>
          </w:tcPr>
          <w:p w14:paraId="3A0763E1" w14:textId="77777777" w:rsidR="001A53CF" w:rsidRPr="00004B48" w:rsidRDefault="001A53CF" w:rsidP="000720E7">
            <w:pPr>
              <w:pStyle w:val="table2"/>
              <w:rPr>
                <w:sz w:val="21"/>
                <w:lang w:eastAsia="zh-CN"/>
              </w:rPr>
            </w:pPr>
            <w:r w:rsidRPr="00004B48">
              <w:rPr>
                <w:sz w:val="21"/>
                <w:lang w:eastAsia="zh-CN"/>
              </w:rPr>
              <w:t>3.202</w:t>
            </w:r>
          </w:p>
        </w:tc>
        <w:tc>
          <w:tcPr>
            <w:tcW w:w="609" w:type="pct"/>
            <w:shd w:val="clear" w:color="auto" w:fill="auto"/>
            <w:vAlign w:val="bottom"/>
          </w:tcPr>
          <w:p w14:paraId="488F89C7" w14:textId="77777777" w:rsidR="001A53CF" w:rsidRPr="00004B48" w:rsidRDefault="001A53CF" w:rsidP="000720E7">
            <w:pPr>
              <w:pStyle w:val="table2"/>
              <w:rPr>
                <w:sz w:val="21"/>
                <w:lang w:eastAsia="zh-CN"/>
              </w:rPr>
            </w:pPr>
            <w:r w:rsidRPr="00004B48">
              <w:rPr>
                <w:sz w:val="21"/>
                <w:lang w:eastAsia="zh-CN"/>
              </w:rPr>
              <w:t>3.204</w:t>
            </w:r>
          </w:p>
        </w:tc>
        <w:tc>
          <w:tcPr>
            <w:tcW w:w="609" w:type="pct"/>
            <w:vAlign w:val="bottom"/>
          </w:tcPr>
          <w:p w14:paraId="45A5655E" w14:textId="5EEC2A02" w:rsidR="001A53CF" w:rsidRPr="00004B48" w:rsidRDefault="001A53CF" w:rsidP="000720E7">
            <w:pPr>
              <w:pStyle w:val="table2"/>
              <w:rPr>
                <w:sz w:val="21"/>
                <w:lang w:eastAsia="zh-CN"/>
              </w:rPr>
            </w:pPr>
            <w:r w:rsidRPr="00004B48">
              <w:rPr>
                <w:sz w:val="21"/>
                <w:lang w:eastAsia="zh-CN"/>
              </w:rPr>
              <w:t>0.981</w:t>
            </w:r>
          </w:p>
        </w:tc>
        <w:tc>
          <w:tcPr>
            <w:tcW w:w="609" w:type="pct"/>
            <w:vAlign w:val="bottom"/>
          </w:tcPr>
          <w:p w14:paraId="752EAB53" w14:textId="2514802C" w:rsidR="001A53CF" w:rsidRPr="00004B48" w:rsidRDefault="001A53CF" w:rsidP="000720E7">
            <w:pPr>
              <w:pStyle w:val="table2"/>
              <w:rPr>
                <w:sz w:val="21"/>
                <w:lang w:eastAsia="zh-CN"/>
              </w:rPr>
            </w:pPr>
            <w:r w:rsidRPr="00004B48">
              <w:rPr>
                <w:sz w:val="21"/>
                <w:lang w:eastAsia="zh-CN"/>
              </w:rPr>
              <w:t>0.963</w:t>
            </w:r>
          </w:p>
        </w:tc>
        <w:tc>
          <w:tcPr>
            <w:tcW w:w="607" w:type="pct"/>
            <w:vAlign w:val="bottom"/>
          </w:tcPr>
          <w:p w14:paraId="1A6F89BD" w14:textId="1E85CB9D" w:rsidR="001A53CF" w:rsidRPr="00004B48" w:rsidRDefault="001A53CF" w:rsidP="000720E7">
            <w:pPr>
              <w:pStyle w:val="table2"/>
              <w:rPr>
                <w:sz w:val="21"/>
                <w:lang w:eastAsia="zh-CN"/>
              </w:rPr>
            </w:pPr>
            <w:r w:rsidRPr="00004B48">
              <w:rPr>
                <w:sz w:val="21"/>
                <w:lang w:eastAsia="zh-CN"/>
              </w:rPr>
              <w:t>0.961</w:t>
            </w:r>
          </w:p>
        </w:tc>
      </w:tr>
      <w:tr w:rsidR="001A53CF" w:rsidRPr="00E44A3E" w14:paraId="42797474" w14:textId="77777777" w:rsidTr="00004B48">
        <w:trPr>
          <w:trHeight w:val="57"/>
        </w:trPr>
        <w:tc>
          <w:tcPr>
            <w:tcW w:w="1349" w:type="pct"/>
            <w:shd w:val="clear" w:color="auto" w:fill="auto"/>
            <w:noWrap/>
            <w:vAlign w:val="bottom"/>
          </w:tcPr>
          <w:p w14:paraId="61864486" w14:textId="77777777" w:rsidR="001A53CF" w:rsidRPr="00004B48" w:rsidRDefault="001A53CF" w:rsidP="000720E7">
            <w:pPr>
              <w:pStyle w:val="table2"/>
              <w:rPr>
                <w:sz w:val="21"/>
                <w:lang w:val="en-US" w:eastAsia="zh-CN"/>
              </w:rPr>
            </w:pPr>
            <w:r w:rsidRPr="00004B48">
              <w:rPr>
                <w:sz w:val="21"/>
                <w:lang w:val="en-US" w:eastAsia="zh-CN"/>
              </w:rPr>
              <w:t>Rho</w:t>
            </w:r>
          </w:p>
        </w:tc>
        <w:tc>
          <w:tcPr>
            <w:tcW w:w="608" w:type="pct"/>
            <w:vAlign w:val="bottom"/>
          </w:tcPr>
          <w:p w14:paraId="76FFA12B" w14:textId="77777777" w:rsidR="001A53CF" w:rsidRPr="00004B48" w:rsidRDefault="001A53CF" w:rsidP="000720E7">
            <w:pPr>
              <w:pStyle w:val="table2"/>
              <w:rPr>
                <w:sz w:val="21"/>
                <w:lang w:eastAsia="zh-CN"/>
              </w:rPr>
            </w:pPr>
            <w:r w:rsidRPr="00004B48">
              <w:rPr>
                <w:sz w:val="21"/>
                <w:lang w:eastAsia="zh-CN"/>
              </w:rPr>
              <w:t>0.242</w:t>
            </w:r>
          </w:p>
        </w:tc>
        <w:tc>
          <w:tcPr>
            <w:tcW w:w="609" w:type="pct"/>
            <w:shd w:val="clear" w:color="auto" w:fill="auto"/>
            <w:noWrap/>
            <w:vAlign w:val="bottom"/>
          </w:tcPr>
          <w:p w14:paraId="47D6DC51" w14:textId="77777777" w:rsidR="001A53CF" w:rsidRPr="00004B48" w:rsidRDefault="001A53CF" w:rsidP="000720E7">
            <w:pPr>
              <w:pStyle w:val="table2"/>
              <w:rPr>
                <w:sz w:val="21"/>
                <w:lang w:eastAsia="zh-CN"/>
              </w:rPr>
            </w:pPr>
            <w:r w:rsidRPr="00004B48">
              <w:rPr>
                <w:sz w:val="21"/>
                <w:lang w:eastAsia="zh-CN"/>
              </w:rPr>
              <w:t>0.213</w:t>
            </w:r>
          </w:p>
        </w:tc>
        <w:tc>
          <w:tcPr>
            <w:tcW w:w="609" w:type="pct"/>
            <w:shd w:val="clear" w:color="auto" w:fill="auto"/>
            <w:vAlign w:val="bottom"/>
          </w:tcPr>
          <w:p w14:paraId="18CEE645" w14:textId="77777777" w:rsidR="001A53CF" w:rsidRPr="00004B48" w:rsidRDefault="001A53CF" w:rsidP="000720E7">
            <w:pPr>
              <w:pStyle w:val="table2"/>
              <w:rPr>
                <w:sz w:val="21"/>
                <w:lang w:eastAsia="zh-CN"/>
              </w:rPr>
            </w:pPr>
            <w:r w:rsidRPr="00004B48">
              <w:rPr>
                <w:sz w:val="21"/>
                <w:lang w:eastAsia="zh-CN"/>
              </w:rPr>
              <w:t>0.206</w:t>
            </w:r>
          </w:p>
        </w:tc>
        <w:tc>
          <w:tcPr>
            <w:tcW w:w="609" w:type="pct"/>
            <w:vAlign w:val="bottom"/>
          </w:tcPr>
          <w:p w14:paraId="5464AC8C" w14:textId="0DE0FF49" w:rsidR="001A53CF" w:rsidRPr="00004B48" w:rsidRDefault="001A53CF" w:rsidP="000720E7">
            <w:pPr>
              <w:pStyle w:val="table2"/>
              <w:rPr>
                <w:sz w:val="21"/>
                <w:lang w:eastAsia="zh-CN"/>
              </w:rPr>
            </w:pPr>
            <w:r w:rsidRPr="00004B48">
              <w:rPr>
                <w:sz w:val="21"/>
                <w:lang w:eastAsia="zh-CN"/>
              </w:rPr>
              <w:t>0.234</w:t>
            </w:r>
          </w:p>
        </w:tc>
        <w:tc>
          <w:tcPr>
            <w:tcW w:w="609" w:type="pct"/>
            <w:vAlign w:val="bottom"/>
          </w:tcPr>
          <w:p w14:paraId="353C5BA4" w14:textId="0BAE3E4F" w:rsidR="001A53CF" w:rsidRPr="00004B48" w:rsidRDefault="001A53CF" w:rsidP="000720E7">
            <w:pPr>
              <w:pStyle w:val="table2"/>
              <w:rPr>
                <w:sz w:val="21"/>
                <w:lang w:eastAsia="zh-CN"/>
              </w:rPr>
            </w:pPr>
            <w:r w:rsidRPr="00004B48">
              <w:rPr>
                <w:sz w:val="21"/>
                <w:lang w:eastAsia="zh-CN"/>
              </w:rPr>
              <w:t>0.172</w:t>
            </w:r>
          </w:p>
        </w:tc>
        <w:tc>
          <w:tcPr>
            <w:tcW w:w="607" w:type="pct"/>
            <w:vAlign w:val="bottom"/>
          </w:tcPr>
          <w:p w14:paraId="679461D1" w14:textId="36990550" w:rsidR="001A53CF" w:rsidRPr="00004B48" w:rsidRDefault="001A53CF" w:rsidP="000720E7">
            <w:pPr>
              <w:pStyle w:val="table2"/>
              <w:rPr>
                <w:sz w:val="21"/>
                <w:lang w:eastAsia="zh-CN"/>
              </w:rPr>
            </w:pPr>
            <w:r w:rsidRPr="00004B48">
              <w:rPr>
                <w:sz w:val="21"/>
                <w:lang w:eastAsia="zh-CN"/>
              </w:rPr>
              <w:t>0.190</w:t>
            </w:r>
          </w:p>
        </w:tc>
      </w:tr>
      <w:tr w:rsidR="001A53CF" w:rsidRPr="00E44A3E" w14:paraId="2D8B1027" w14:textId="77777777" w:rsidTr="00004B48">
        <w:trPr>
          <w:trHeight w:val="63"/>
        </w:trPr>
        <w:tc>
          <w:tcPr>
            <w:tcW w:w="1349" w:type="pct"/>
            <w:shd w:val="clear" w:color="auto" w:fill="auto"/>
            <w:noWrap/>
            <w:vAlign w:val="bottom"/>
          </w:tcPr>
          <w:p w14:paraId="487564B3" w14:textId="77777777" w:rsidR="001A53CF" w:rsidRPr="00004B48" w:rsidRDefault="001A53CF" w:rsidP="000720E7">
            <w:pPr>
              <w:pStyle w:val="table2"/>
              <w:rPr>
                <w:sz w:val="21"/>
              </w:rPr>
            </w:pPr>
            <w:r w:rsidRPr="00004B48">
              <w:rPr>
                <w:sz w:val="21"/>
              </w:rPr>
              <w:t>Number of obs</w:t>
            </w:r>
          </w:p>
        </w:tc>
        <w:tc>
          <w:tcPr>
            <w:tcW w:w="608" w:type="pct"/>
          </w:tcPr>
          <w:p w14:paraId="5AA509B5" w14:textId="77777777" w:rsidR="001A53CF" w:rsidRPr="00004B48" w:rsidRDefault="001A53CF" w:rsidP="000720E7">
            <w:pPr>
              <w:pStyle w:val="table2"/>
              <w:rPr>
                <w:sz w:val="21"/>
                <w:lang w:eastAsia="zh-CN"/>
              </w:rPr>
            </w:pPr>
            <w:r w:rsidRPr="00004B48">
              <w:rPr>
                <w:sz w:val="21"/>
                <w:lang w:eastAsia="zh-CN"/>
              </w:rPr>
              <w:t>897</w:t>
            </w:r>
          </w:p>
        </w:tc>
        <w:tc>
          <w:tcPr>
            <w:tcW w:w="609" w:type="pct"/>
            <w:shd w:val="clear" w:color="auto" w:fill="auto"/>
            <w:noWrap/>
            <w:vAlign w:val="bottom"/>
          </w:tcPr>
          <w:p w14:paraId="08724710" w14:textId="77777777" w:rsidR="001A53CF" w:rsidRPr="00004B48" w:rsidRDefault="001A53CF" w:rsidP="000720E7">
            <w:pPr>
              <w:pStyle w:val="table2"/>
              <w:rPr>
                <w:sz w:val="21"/>
                <w:lang w:eastAsia="zh-CN"/>
              </w:rPr>
            </w:pPr>
            <w:r w:rsidRPr="00004B48">
              <w:rPr>
                <w:sz w:val="21"/>
                <w:lang w:eastAsia="zh-CN"/>
              </w:rPr>
              <w:t>761</w:t>
            </w:r>
          </w:p>
        </w:tc>
        <w:tc>
          <w:tcPr>
            <w:tcW w:w="609" w:type="pct"/>
            <w:shd w:val="clear" w:color="auto" w:fill="auto"/>
            <w:vAlign w:val="bottom"/>
          </w:tcPr>
          <w:p w14:paraId="231CF047" w14:textId="77777777" w:rsidR="001A53CF" w:rsidRPr="00004B48" w:rsidRDefault="001A53CF" w:rsidP="000720E7">
            <w:pPr>
              <w:pStyle w:val="table2"/>
              <w:rPr>
                <w:sz w:val="21"/>
                <w:lang w:eastAsia="zh-CN"/>
              </w:rPr>
            </w:pPr>
            <w:r w:rsidRPr="00004B48">
              <w:rPr>
                <w:sz w:val="21"/>
                <w:lang w:eastAsia="zh-CN"/>
              </w:rPr>
              <w:t>761</w:t>
            </w:r>
          </w:p>
        </w:tc>
        <w:tc>
          <w:tcPr>
            <w:tcW w:w="609" w:type="pct"/>
          </w:tcPr>
          <w:p w14:paraId="283AA7DD" w14:textId="276D92C6" w:rsidR="001A53CF" w:rsidRPr="00004B48" w:rsidRDefault="001A53CF" w:rsidP="000720E7">
            <w:pPr>
              <w:pStyle w:val="table2"/>
              <w:rPr>
                <w:sz w:val="21"/>
                <w:lang w:eastAsia="zh-CN"/>
              </w:rPr>
            </w:pPr>
            <w:r w:rsidRPr="00004B48">
              <w:rPr>
                <w:sz w:val="21"/>
                <w:lang w:eastAsia="zh-CN"/>
              </w:rPr>
              <w:t>955</w:t>
            </w:r>
          </w:p>
        </w:tc>
        <w:tc>
          <w:tcPr>
            <w:tcW w:w="609" w:type="pct"/>
            <w:vAlign w:val="bottom"/>
          </w:tcPr>
          <w:p w14:paraId="6D469B7B" w14:textId="31A47F10" w:rsidR="001A53CF" w:rsidRPr="00004B48" w:rsidRDefault="001A53CF" w:rsidP="000720E7">
            <w:pPr>
              <w:pStyle w:val="table2"/>
              <w:rPr>
                <w:sz w:val="21"/>
                <w:lang w:eastAsia="zh-CN"/>
              </w:rPr>
            </w:pPr>
            <w:r w:rsidRPr="00004B48">
              <w:rPr>
                <w:sz w:val="21"/>
                <w:lang w:eastAsia="zh-CN"/>
              </w:rPr>
              <w:t>814</w:t>
            </w:r>
          </w:p>
        </w:tc>
        <w:tc>
          <w:tcPr>
            <w:tcW w:w="607" w:type="pct"/>
            <w:vAlign w:val="bottom"/>
          </w:tcPr>
          <w:p w14:paraId="48C7A17D" w14:textId="0EAB4715" w:rsidR="001A53CF" w:rsidRPr="00004B48" w:rsidRDefault="001A53CF" w:rsidP="000720E7">
            <w:pPr>
              <w:pStyle w:val="table2"/>
              <w:rPr>
                <w:sz w:val="21"/>
                <w:lang w:eastAsia="zh-CN"/>
              </w:rPr>
            </w:pPr>
            <w:r w:rsidRPr="00004B48">
              <w:rPr>
                <w:sz w:val="21"/>
                <w:lang w:eastAsia="zh-CN"/>
              </w:rPr>
              <w:t>814</w:t>
            </w:r>
          </w:p>
        </w:tc>
      </w:tr>
      <w:tr w:rsidR="001A53CF" w:rsidRPr="00E44A3E" w14:paraId="57FE1C55" w14:textId="77777777" w:rsidTr="00004B48">
        <w:trPr>
          <w:trHeight w:val="57"/>
        </w:trPr>
        <w:tc>
          <w:tcPr>
            <w:tcW w:w="1349" w:type="pct"/>
            <w:tcBorders>
              <w:bottom w:val="single" w:sz="4" w:space="0" w:color="auto"/>
            </w:tcBorders>
            <w:shd w:val="clear" w:color="auto" w:fill="auto"/>
            <w:noWrap/>
            <w:vAlign w:val="bottom"/>
          </w:tcPr>
          <w:p w14:paraId="4AF7768B" w14:textId="77777777" w:rsidR="001A53CF" w:rsidRPr="00004B48" w:rsidRDefault="001A53CF" w:rsidP="000720E7">
            <w:pPr>
              <w:pStyle w:val="table2"/>
              <w:rPr>
                <w:sz w:val="21"/>
              </w:rPr>
            </w:pPr>
            <w:r w:rsidRPr="00004B48">
              <w:rPr>
                <w:sz w:val="21"/>
              </w:rPr>
              <w:t>Number of groups</w:t>
            </w:r>
          </w:p>
        </w:tc>
        <w:tc>
          <w:tcPr>
            <w:tcW w:w="608" w:type="pct"/>
            <w:tcBorders>
              <w:bottom w:val="single" w:sz="4" w:space="0" w:color="auto"/>
            </w:tcBorders>
          </w:tcPr>
          <w:p w14:paraId="128B8C30" w14:textId="77777777" w:rsidR="001A53CF" w:rsidRPr="00004B48" w:rsidRDefault="001A53CF" w:rsidP="000720E7">
            <w:pPr>
              <w:pStyle w:val="table2"/>
              <w:rPr>
                <w:sz w:val="21"/>
                <w:lang w:eastAsia="zh-CN"/>
              </w:rPr>
            </w:pPr>
            <w:r w:rsidRPr="00004B48">
              <w:rPr>
                <w:sz w:val="21"/>
                <w:lang w:eastAsia="zh-CN"/>
              </w:rPr>
              <w:t>76</w:t>
            </w:r>
          </w:p>
        </w:tc>
        <w:tc>
          <w:tcPr>
            <w:tcW w:w="609" w:type="pct"/>
            <w:tcBorders>
              <w:bottom w:val="single" w:sz="4" w:space="0" w:color="auto"/>
            </w:tcBorders>
            <w:shd w:val="clear" w:color="auto" w:fill="auto"/>
            <w:noWrap/>
            <w:vAlign w:val="bottom"/>
          </w:tcPr>
          <w:p w14:paraId="0E8DD12D" w14:textId="77777777" w:rsidR="001A53CF" w:rsidRPr="00004B48" w:rsidRDefault="001A53CF" w:rsidP="000720E7">
            <w:pPr>
              <w:pStyle w:val="table2"/>
              <w:rPr>
                <w:sz w:val="21"/>
                <w:lang w:eastAsia="zh-CN"/>
              </w:rPr>
            </w:pPr>
            <w:r w:rsidRPr="00004B48">
              <w:rPr>
                <w:sz w:val="21"/>
                <w:lang w:eastAsia="zh-CN"/>
              </w:rPr>
              <w:t>79</w:t>
            </w:r>
          </w:p>
        </w:tc>
        <w:tc>
          <w:tcPr>
            <w:tcW w:w="609" w:type="pct"/>
            <w:tcBorders>
              <w:bottom w:val="single" w:sz="4" w:space="0" w:color="auto"/>
            </w:tcBorders>
            <w:shd w:val="clear" w:color="auto" w:fill="auto"/>
            <w:vAlign w:val="bottom"/>
          </w:tcPr>
          <w:p w14:paraId="719E669D" w14:textId="77777777" w:rsidR="001A53CF" w:rsidRPr="00004B48" w:rsidRDefault="001A53CF" w:rsidP="000720E7">
            <w:pPr>
              <w:pStyle w:val="table2"/>
              <w:rPr>
                <w:sz w:val="21"/>
                <w:lang w:eastAsia="zh-CN"/>
              </w:rPr>
            </w:pPr>
            <w:r w:rsidRPr="00004B48">
              <w:rPr>
                <w:sz w:val="21"/>
                <w:lang w:eastAsia="zh-CN"/>
              </w:rPr>
              <w:t>79</w:t>
            </w:r>
          </w:p>
        </w:tc>
        <w:tc>
          <w:tcPr>
            <w:tcW w:w="609" w:type="pct"/>
            <w:tcBorders>
              <w:bottom w:val="single" w:sz="4" w:space="0" w:color="auto"/>
            </w:tcBorders>
          </w:tcPr>
          <w:p w14:paraId="64D388DF" w14:textId="5BD2A1EE" w:rsidR="001A53CF" w:rsidRPr="00004B48" w:rsidRDefault="001A53CF" w:rsidP="000720E7">
            <w:pPr>
              <w:pStyle w:val="table2"/>
              <w:rPr>
                <w:sz w:val="21"/>
                <w:lang w:eastAsia="zh-CN"/>
              </w:rPr>
            </w:pPr>
            <w:r w:rsidRPr="00004B48">
              <w:rPr>
                <w:sz w:val="21"/>
                <w:lang w:eastAsia="zh-CN"/>
              </w:rPr>
              <w:t>77</w:t>
            </w:r>
          </w:p>
        </w:tc>
        <w:tc>
          <w:tcPr>
            <w:tcW w:w="609" w:type="pct"/>
            <w:tcBorders>
              <w:bottom w:val="single" w:sz="4" w:space="0" w:color="auto"/>
            </w:tcBorders>
            <w:vAlign w:val="bottom"/>
          </w:tcPr>
          <w:p w14:paraId="2236CC2C" w14:textId="3A9B153B" w:rsidR="001A53CF" w:rsidRPr="00004B48" w:rsidRDefault="001A53CF" w:rsidP="000720E7">
            <w:pPr>
              <w:pStyle w:val="table2"/>
              <w:rPr>
                <w:sz w:val="21"/>
                <w:lang w:eastAsia="zh-CN"/>
              </w:rPr>
            </w:pPr>
            <w:r w:rsidRPr="00004B48">
              <w:rPr>
                <w:sz w:val="21"/>
                <w:lang w:eastAsia="zh-CN"/>
              </w:rPr>
              <w:t>80</w:t>
            </w:r>
          </w:p>
        </w:tc>
        <w:tc>
          <w:tcPr>
            <w:tcW w:w="607" w:type="pct"/>
            <w:tcBorders>
              <w:bottom w:val="single" w:sz="4" w:space="0" w:color="auto"/>
            </w:tcBorders>
            <w:vAlign w:val="bottom"/>
          </w:tcPr>
          <w:p w14:paraId="2B4382CF" w14:textId="6A8A563E" w:rsidR="001A53CF" w:rsidRPr="00004B48" w:rsidRDefault="001A53CF" w:rsidP="000720E7">
            <w:pPr>
              <w:pStyle w:val="table2"/>
              <w:rPr>
                <w:sz w:val="21"/>
                <w:lang w:eastAsia="zh-CN"/>
              </w:rPr>
            </w:pPr>
            <w:r w:rsidRPr="00004B48">
              <w:rPr>
                <w:sz w:val="21"/>
                <w:lang w:eastAsia="zh-CN"/>
              </w:rPr>
              <w:t>80</w:t>
            </w:r>
          </w:p>
        </w:tc>
      </w:tr>
    </w:tbl>
    <w:p w14:paraId="4A91E09D" w14:textId="0B11652A" w:rsidR="001A53CF" w:rsidRDefault="001A53CF" w:rsidP="001A53CF">
      <w:pPr>
        <w:pStyle w:val="tablecomment"/>
        <w:rPr>
          <w:lang w:eastAsia="nb-NO"/>
        </w:rPr>
      </w:pPr>
      <w:r>
        <w:rPr>
          <w:lang w:eastAsia="nb-NO"/>
        </w:rPr>
        <w:t xml:space="preserve">Coarsened exact matching (CEM) with fixed effects regression. </w:t>
      </w:r>
      <w:r w:rsidRPr="00BD0D1F">
        <w:rPr>
          <w:lang w:eastAsia="nb-NO"/>
        </w:rPr>
        <w:t xml:space="preserve">Standard errors in parentheses. </w:t>
      </w:r>
      <w:r w:rsidRPr="00BD0D1F">
        <w:rPr>
          <w:rFonts w:ascii="AdvTimes" w:eastAsia="AdvTimes" w:cs="AdvTimes"/>
          <w:lang w:eastAsia="nb-NO"/>
        </w:rPr>
        <w:t xml:space="preserve">* </w:t>
      </w:r>
      <w:r w:rsidRPr="00BD0D1F">
        <w:rPr>
          <w:lang w:eastAsia="nb-NO"/>
        </w:rPr>
        <w:t xml:space="preserve">Significant at 10%; </w:t>
      </w:r>
      <w:r w:rsidRPr="00BD0D1F">
        <w:rPr>
          <w:rFonts w:ascii="AdvTimes" w:eastAsia="AdvTimes" w:cs="AdvTimes"/>
          <w:lang w:eastAsia="nb-NO"/>
        </w:rPr>
        <w:t>**</w:t>
      </w:r>
      <w:r w:rsidRPr="006259E4">
        <w:rPr>
          <w:rFonts w:ascii="AdvTimes" w:eastAsia="AdvTimes" w:cs="AdvTimes"/>
          <w:lang w:eastAsia="nb-NO"/>
        </w:rPr>
        <w:t xml:space="preserve"> </w:t>
      </w:r>
      <w:r w:rsidRPr="006259E4">
        <w:rPr>
          <w:lang w:eastAsia="nb-NO"/>
        </w:rPr>
        <w:t>Significant</w:t>
      </w:r>
      <w:r w:rsidRPr="00BD0D1F">
        <w:rPr>
          <w:lang w:eastAsia="nb-NO"/>
        </w:rPr>
        <w:t xml:space="preserve"> at 5%; </w:t>
      </w:r>
      <w:r w:rsidRPr="00BD0D1F">
        <w:rPr>
          <w:rFonts w:ascii="AdvTimes" w:eastAsia="AdvTimes" w:cs="AdvTimes"/>
          <w:lang w:eastAsia="nb-NO"/>
        </w:rPr>
        <w:t xml:space="preserve">*** </w:t>
      </w:r>
      <w:r w:rsidRPr="00BD0D1F">
        <w:rPr>
          <w:lang w:eastAsia="nb-NO"/>
        </w:rPr>
        <w:t>significant at 1%.</w:t>
      </w:r>
      <w:r>
        <w:rPr>
          <w:lang w:eastAsia="nb-NO"/>
        </w:rPr>
        <w:t xml:space="preserve"> #effects are borderline significant at 10.6 and 10.8% respectively. </w:t>
      </w:r>
      <w:r w:rsidR="00AF5B9D">
        <w:rPr>
          <w:lang w:eastAsia="nb-NO"/>
        </w:rPr>
        <w:t>Strata are matched on age-group, education level, ethnic affiliation, religion, territory of residence and survivor status (ex</w:t>
      </w:r>
      <w:r w:rsidR="00004B48">
        <w:rPr>
          <w:lang w:eastAsia="nb-NO"/>
        </w:rPr>
        <w:t>c</w:t>
      </w:r>
      <w:r w:rsidR="00AF5B9D">
        <w:rPr>
          <w:lang w:eastAsia="nb-NO"/>
        </w:rPr>
        <w:t>e</w:t>
      </w:r>
      <w:r w:rsidR="00004B48">
        <w:rPr>
          <w:lang w:eastAsia="nb-NO"/>
        </w:rPr>
        <w:t>p</w:t>
      </w:r>
      <w:r w:rsidR="00AF5B9D">
        <w:rPr>
          <w:lang w:eastAsia="nb-NO"/>
        </w:rPr>
        <w:t xml:space="preserve">t in Models </w:t>
      </w:r>
      <w:r w:rsidR="00004B48">
        <w:rPr>
          <w:lang w:eastAsia="nb-NO"/>
        </w:rPr>
        <w:t>4</w:t>
      </w:r>
      <w:r w:rsidR="00AF5B9D">
        <w:rPr>
          <w:lang w:eastAsia="nb-NO"/>
        </w:rPr>
        <w:t xml:space="preserve">a and </w:t>
      </w:r>
      <w:r w:rsidR="00004B48">
        <w:rPr>
          <w:lang w:eastAsia="nb-NO"/>
        </w:rPr>
        <w:t>4</w:t>
      </w:r>
      <w:r w:rsidR="00AF5B9D">
        <w:rPr>
          <w:lang w:eastAsia="nb-NO"/>
        </w:rPr>
        <w:t xml:space="preserve">d where survivor status is the treatment). </w:t>
      </w:r>
      <w:r>
        <w:rPr>
          <w:lang w:eastAsia="nb-NO"/>
        </w:rPr>
        <w:t>Unmatched cases are dropped from the models to reflect the actual N upon which the results were based.</w:t>
      </w:r>
    </w:p>
    <w:p w14:paraId="28C80FF7" w14:textId="77777777" w:rsidR="00AF5B9D" w:rsidRPr="00C8442E" w:rsidRDefault="00AF5B9D" w:rsidP="00C8442E">
      <w:pPr>
        <w:ind w:firstLine="0"/>
        <w:rPr>
          <w:lang w:val="en-US" w:eastAsia="nb-NO"/>
        </w:rPr>
      </w:pPr>
    </w:p>
    <w:p w14:paraId="24C02ED1" w14:textId="26F98597" w:rsidR="00FC499A" w:rsidRPr="00C8442E" w:rsidRDefault="00AF5B9D" w:rsidP="00C8442E">
      <w:pPr>
        <w:ind w:firstLine="0"/>
        <w:rPr>
          <w:lang w:val="en-US" w:eastAsia="nb-NO"/>
        </w:rPr>
      </w:pPr>
      <w:r>
        <w:rPr>
          <w:lang w:val="en-GB" w:eastAsia="nb-NO"/>
        </w:rPr>
        <w:t xml:space="preserve">First, Model </w:t>
      </w:r>
      <w:r w:rsidR="00004B48">
        <w:rPr>
          <w:lang w:val="en-GB" w:eastAsia="nb-NO"/>
        </w:rPr>
        <w:t>4</w:t>
      </w:r>
      <w:r>
        <w:rPr>
          <w:lang w:val="en-GB" w:eastAsia="nb-NO"/>
        </w:rPr>
        <w:t xml:space="preserve">a indicates that survivors of sexual violence feel less socially included overall (regardless of support program exposure). This apparently stronger feeling of social exclusion is in line with our first hypothesis. Survivors also report less satisfaction with regard to economic improvement during the last 12 months. The effect is even negative (Model </w:t>
      </w:r>
      <w:r w:rsidR="00004B48">
        <w:rPr>
          <w:lang w:val="en-GB" w:eastAsia="nb-NO"/>
        </w:rPr>
        <w:t>4</w:t>
      </w:r>
      <w:r>
        <w:rPr>
          <w:lang w:val="en-GB" w:eastAsia="nb-NO"/>
        </w:rPr>
        <w:t xml:space="preserve">d), albeit not statistically significant. </w:t>
      </w:r>
    </w:p>
    <w:p w14:paraId="2A857B7C" w14:textId="44951C1E" w:rsidR="004F0A3C" w:rsidRPr="00C8442E" w:rsidRDefault="00AF5B9D" w:rsidP="00C8442E">
      <w:pPr>
        <w:ind w:firstLine="709"/>
        <w:rPr>
          <w:lang w:val="en-US" w:eastAsia="nb-NO"/>
        </w:rPr>
      </w:pPr>
      <w:r>
        <w:rPr>
          <w:lang w:val="en-GB" w:eastAsia="nb-NO"/>
        </w:rPr>
        <w:t xml:space="preserve">Further, we see from Models </w:t>
      </w:r>
      <w:r w:rsidR="00FE370B">
        <w:rPr>
          <w:lang w:val="en-GB" w:eastAsia="nb-NO"/>
        </w:rPr>
        <w:t>4</w:t>
      </w:r>
      <w:r>
        <w:rPr>
          <w:lang w:val="en-GB" w:eastAsia="nb-NO"/>
        </w:rPr>
        <w:t xml:space="preserve">b and </w:t>
      </w:r>
      <w:r w:rsidR="00FE370B">
        <w:rPr>
          <w:lang w:val="en-GB" w:eastAsia="nb-NO"/>
        </w:rPr>
        <w:t>4</w:t>
      </w:r>
      <w:r>
        <w:rPr>
          <w:lang w:val="en-GB" w:eastAsia="nb-NO"/>
        </w:rPr>
        <w:t>e that support programs seem to have a general positive significant effect, both with regard to perceived social inclusion and improved economic wellbeing</w:t>
      </w:r>
      <w:r w:rsidR="004F0A3C">
        <w:rPr>
          <w:lang w:val="en-GB" w:eastAsia="nb-NO"/>
        </w:rPr>
        <w:t>, which is in line with Hypotheses H2a and H2b</w:t>
      </w:r>
      <w:r>
        <w:rPr>
          <w:lang w:val="en-GB" w:eastAsia="nb-NO"/>
        </w:rPr>
        <w:t xml:space="preserve">. </w:t>
      </w:r>
    </w:p>
    <w:p w14:paraId="059F6510" w14:textId="61480D62" w:rsidR="00AF5B9D" w:rsidRPr="00C8442E" w:rsidRDefault="00AF5B9D" w:rsidP="00C8442E">
      <w:pPr>
        <w:ind w:firstLine="709"/>
        <w:rPr>
          <w:lang w:val="en-US" w:eastAsia="nb-NO"/>
        </w:rPr>
      </w:pPr>
      <w:r>
        <w:rPr>
          <w:lang w:val="en-GB" w:eastAsia="nb-NO"/>
        </w:rPr>
        <w:t>However, as mentioned above, the support programs tend to include a large share of non-survivors as well. Because we are particularly interested in the effectiveness of the programs when it comes to improving the situation for survivors</w:t>
      </w:r>
      <w:r w:rsidR="004F0A3C">
        <w:rPr>
          <w:lang w:val="en-GB" w:eastAsia="nb-NO"/>
        </w:rPr>
        <w:t xml:space="preserve"> (cf. H3a and H3b</w:t>
      </w:r>
      <w:r w:rsidR="00FC499A">
        <w:rPr>
          <w:lang w:val="en-GB" w:eastAsia="nb-NO"/>
        </w:rPr>
        <w:t>)</w:t>
      </w:r>
      <w:r>
        <w:rPr>
          <w:lang w:val="en-GB" w:eastAsia="nb-NO"/>
        </w:rPr>
        <w:t xml:space="preserve">, we also include interaction terms </w:t>
      </w:r>
      <w:r w:rsidR="004F0A3C">
        <w:rPr>
          <w:lang w:val="en-GB" w:eastAsia="nb-NO"/>
        </w:rPr>
        <w:t xml:space="preserve">between survivor status and program exposure </w:t>
      </w:r>
      <w:r>
        <w:rPr>
          <w:lang w:val="en-GB" w:eastAsia="nb-NO"/>
        </w:rPr>
        <w:t>in order to assess this.</w:t>
      </w:r>
      <w:r w:rsidR="004F0A3C">
        <w:rPr>
          <w:lang w:val="en-GB" w:eastAsia="nb-NO"/>
        </w:rPr>
        <w:t xml:space="preserve"> This yields some interesting results. First, i</w:t>
      </w:r>
      <w:r w:rsidR="00FC499A">
        <w:rPr>
          <w:lang w:val="en-GB" w:eastAsia="nb-NO"/>
        </w:rPr>
        <w:t xml:space="preserve">n model </w:t>
      </w:r>
      <w:r w:rsidR="00947ED5">
        <w:rPr>
          <w:lang w:val="en-GB" w:eastAsia="nb-NO"/>
        </w:rPr>
        <w:t>4</w:t>
      </w:r>
      <w:r w:rsidR="00FC499A">
        <w:rPr>
          <w:lang w:val="en-GB" w:eastAsia="nb-NO"/>
        </w:rPr>
        <w:t xml:space="preserve">c we </w:t>
      </w:r>
      <w:r w:rsidR="004F0A3C">
        <w:rPr>
          <w:lang w:val="en-GB" w:eastAsia="nb-NO"/>
        </w:rPr>
        <w:t>see</w:t>
      </w:r>
      <w:r w:rsidR="00FC499A">
        <w:rPr>
          <w:lang w:val="en-GB" w:eastAsia="nb-NO"/>
        </w:rPr>
        <w:t xml:space="preserve"> that the positive effect of programs appears to be weaker, if anything</w:t>
      </w:r>
      <w:r w:rsidR="00947ED5">
        <w:rPr>
          <w:lang w:val="en-GB" w:eastAsia="nb-NO"/>
        </w:rPr>
        <w:t>,</w:t>
      </w:r>
      <w:r w:rsidR="00FC499A">
        <w:rPr>
          <w:lang w:val="en-GB" w:eastAsia="nb-NO"/>
        </w:rPr>
        <w:t xml:space="preserve"> for survivors than for non-survivors </w:t>
      </w:r>
      <w:r w:rsidR="00947ED5">
        <w:rPr>
          <w:lang w:val="en-GB" w:eastAsia="nb-NO"/>
        </w:rPr>
        <w:t>given</w:t>
      </w:r>
      <w:r w:rsidR="00FC499A">
        <w:rPr>
          <w:lang w:val="en-GB" w:eastAsia="nb-NO"/>
        </w:rPr>
        <w:t xml:space="preserve"> the negative sign </w:t>
      </w:r>
      <w:r w:rsidR="00FC499A">
        <w:rPr>
          <w:lang w:val="en-GB" w:eastAsia="nb-NO"/>
        </w:rPr>
        <w:lastRenderedPageBreak/>
        <w:t>of the interaction term. However, the interaction term is not statistically significant, and hence we cannot conclude that support programs have any different effect for survivors compared to non-survivors</w:t>
      </w:r>
      <w:r w:rsidR="004F0A3C">
        <w:rPr>
          <w:lang w:val="en-GB" w:eastAsia="nb-NO"/>
        </w:rPr>
        <w:t xml:space="preserve">. In other words, H3a is not supported. However, as shown in Model </w:t>
      </w:r>
      <w:r w:rsidR="00947ED5">
        <w:rPr>
          <w:lang w:val="en-GB" w:eastAsia="nb-NO"/>
        </w:rPr>
        <w:t>4</w:t>
      </w:r>
      <w:r w:rsidR="004F0A3C">
        <w:rPr>
          <w:lang w:val="en-GB" w:eastAsia="nb-NO"/>
        </w:rPr>
        <w:t xml:space="preserve">f, we see that the positive effect of program exposure with regard to perceived improvements in economic wellbeing </w:t>
      </w:r>
      <w:r w:rsidR="00947ED5">
        <w:rPr>
          <w:lang w:val="en-GB" w:eastAsia="nb-NO"/>
        </w:rPr>
        <w:t xml:space="preserve">is </w:t>
      </w:r>
      <w:r w:rsidR="004F0A3C">
        <w:rPr>
          <w:lang w:val="en-GB" w:eastAsia="nb-NO"/>
        </w:rPr>
        <w:t>stronger for survivors, and significantly so.</w:t>
      </w:r>
      <w:r w:rsidR="00807423">
        <w:rPr>
          <w:lang w:val="en-GB" w:eastAsia="nb-NO"/>
        </w:rPr>
        <w:t xml:space="preserve"> In fact</w:t>
      </w:r>
      <w:r w:rsidR="00947ED5">
        <w:rPr>
          <w:lang w:val="en-GB" w:eastAsia="nb-NO"/>
        </w:rPr>
        <w:t>,</w:t>
      </w:r>
      <w:r w:rsidR="00807423">
        <w:rPr>
          <w:lang w:val="en-GB" w:eastAsia="nb-NO"/>
        </w:rPr>
        <w:t xml:space="preserve"> the effect is almost 1.5 times str</w:t>
      </w:r>
      <w:r w:rsidR="00947ED5">
        <w:rPr>
          <w:lang w:val="en-GB" w:eastAsia="nb-NO"/>
        </w:rPr>
        <w:t>o</w:t>
      </w:r>
      <w:r w:rsidR="00807423">
        <w:rPr>
          <w:lang w:val="en-GB" w:eastAsia="nb-NO"/>
        </w:rPr>
        <w:t>nger for survivors than for non-survivors.</w:t>
      </w:r>
    </w:p>
    <w:p w14:paraId="021B2D1C" w14:textId="011E830B" w:rsidR="00AF5B9D" w:rsidRDefault="00AF5B9D" w:rsidP="00AF5B9D">
      <w:pPr>
        <w:rPr>
          <w:lang w:val="en-US" w:eastAsia="nb-NO"/>
        </w:rPr>
      </w:pPr>
      <w:r>
        <w:rPr>
          <w:lang w:val="en-US" w:eastAsia="nb-NO"/>
        </w:rPr>
        <w:t>The main take-home lesson from these results is that support programs and</w:t>
      </w:r>
      <w:r w:rsidR="00807423">
        <w:rPr>
          <w:lang w:val="en-US" w:eastAsia="nb-NO"/>
        </w:rPr>
        <w:t xml:space="preserve"> their associated</w:t>
      </w:r>
      <w:r>
        <w:rPr>
          <w:lang w:val="en-US" w:eastAsia="nb-NO"/>
        </w:rPr>
        <w:t xml:space="preserve"> </w:t>
      </w:r>
      <w:r w:rsidR="00947ED5">
        <w:rPr>
          <w:lang w:val="en-US" w:eastAsia="nb-NO"/>
        </w:rPr>
        <w:t xml:space="preserve">activities (e.g. </w:t>
      </w:r>
      <w:r>
        <w:rPr>
          <w:lang w:val="en-US" w:eastAsia="nb-NO"/>
        </w:rPr>
        <w:t>various types of training</w:t>
      </w:r>
      <w:r w:rsidR="00947ED5">
        <w:rPr>
          <w:lang w:val="en-US" w:eastAsia="nb-NO"/>
        </w:rPr>
        <w:t>)</w:t>
      </w:r>
      <w:r>
        <w:rPr>
          <w:lang w:val="en-US" w:eastAsia="nb-NO"/>
        </w:rPr>
        <w:t xml:space="preserve"> seem to significantly improve women’s economic wellbeing (be it survivors or non-survivors) although the programs seem to be particularly beneficial for survivors in this respect. However, when it comes to social inclusion, the picture is slightly different. Overall</w:t>
      </w:r>
      <w:r w:rsidR="00807423">
        <w:rPr>
          <w:lang w:val="en-US" w:eastAsia="nb-NO"/>
        </w:rPr>
        <w:t>,</w:t>
      </w:r>
      <w:r>
        <w:rPr>
          <w:lang w:val="en-US" w:eastAsia="nb-NO"/>
        </w:rPr>
        <w:t xml:space="preserve"> programs seem to have the intended effect of increasing the attendants’ perceived level of social inclusion. However, if anything the effect appears to be somewhat weaker for survivors than for non-survivors. Hence, there seems to be particular potential for improvement as regards how the programs work actively to integrate survivors of sexual violence in the community. Ideally one should focus on activities/support that contribute to both improving these women’s economic AND social wellbeing</w:t>
      </w:r>
      <w:r w:rsidR="00947ED5">
        <w:rPr>
          <w:lang w:val="en-US" w:eastAsia="nb-NO"/>
        </w:rPr>
        <w:t>, and potentially even consider expanding activities to focus more strongly on community sensitization</w:t>
      </w:r>
      <w:r>
        <w:rPr>
          <w:lang w:val="en-US" w:eastAsia="nb-NO"/>
        </w:rPr>
        <w:t xml:space="preserve">. </w:t>
      </w:r>
    </w:p>
    <w:p w14:paraId="7636F925" w14:textId="77777777" w:rsidR="001A53CF" w:rsidRDefault="001A53CF" w:rsidP="001A53CF">
      <w:pPr>
        <w:rPr>
          <w:lang w:val="en-US" w:eastAsia="nb-NO"/>
        </w:rPr>
      </w:pPr>
    </w:p>
    <w:p w14:paraId="1C4A46E7" w14:textId="08763340" w:rsidR="00440EFA" w:rsidRDefault="0053420E" w:rsidP="002D3E2C">
      <w:pPr>
        <w:pStyle w:val="Heading1"/>
      </w:pPr>
      <w:r>
        <w:t xml:space="preserve">Discussion and </w:t>
      </w:r>
      <w:r w:rsidR="00411D12">
        <w:t>Conclusion</w:t>
      </w:r>
      <w:r w:rsidR="00B20479">
        <w:t xml:space="preserve"> </w:t>
      </w:r>
    </w:p>
    <w:p w14:paraId="10F6286A" w14:textId="228330FA" w:rsidR="00344AAE" w:rsidRDefault="00344AAE" w:rsidP="00197FD0">
      <w:pPr>
        <w:ind w:firstLine="0"/>
        <w:rPr>
          <w:lang w:val="en-US"/>
        </w:rPr>
      </w:pPr>
      <w:r>
        <w:rPr>
          <w:lang w:val="en-US"/>
        </w:rPr>
        <w:t>Sexual violence is believed to have detrimental long term negative effects on the lives of survivors</w:t>
      </w:r>
      <w:r w:rsidR="000C58FC">
        <w:rPr>
          <w:lang w:val="en-US"/>
        </w:rPr>
        <w:t xml:space="preserve"> and, when militarized, on entire communities</w:t>
      </w:r>
      <w:r>
        <w:rPr>
          <w:lang w:val="en-US"/>
        </w:rPr>
        <w:t xml:space="preserve">. In eastern DRC, the problem of sexual violence is well known and has occurred on a large scale. No one knows the exact scale of the problem, but </w:t>
      </w:r>
      <w:r w:rsidR="00680989">
        <w:rPr>
          <w:lang w:val="en-US"/>
        </w:rPr>
        <w:t>the UN</w:t>
      </w:r>
      <w:r>
        <w:rPr>
          <w:lang w:val="en-US"/>
        </w:rPr>
        <w:t xml:space="preserve"> suggest that as many as 200,000 women are survivors of such violence in</w:t>
      </w:r>
      <w:r w:rsidR="00680989">
        <w:rPr>
          <w:lang w:val="en-US"/>
        </w:rPr>
        <w:t xml:space="preserve"> the DRC</w:t>
      </w:r>
      <w:r>
        <w:rPr>
          <w:lang w:val="en-US"/>
        </w:rPr>
        <w:t>.</w:t>
      </w:r>
      <w:r w:rsidR="00680989">
        <w:rPr>
          <w:rStyle w:val="FootnoteReference"/>
          <w:lang w:val="en-US"/>
        </w:rPr>
        <w:footnoteReference w:id="7"/>
      </w:r>
      <w:r>
        <w:rPr>
          <w:lang w:val="en-US"/>
        </w:rPr>
        <w:t xml:space="preserve"> </w:t>
      </w:r>
      <w:r w:rsidR="00006F2F">
        <w:rPr>
          <w:lang w:val="en-US"/>
        </w:rPr>
        <w:t xml:space="preserve">There are </w:t>
      </w:r>
      <w:r w:rsidR="0097503F">
        <w:rPr>
          <w:lang w:val="en-US"/>
        </w:rPr>
        <w:t>program</w:t>
      </w:r>
      <w:r w:rsidR="00006F2F">
        <w:rPr>
          <w:lang w:val="en-US"/>
        </w:rPr>
        <w:t xml:space="preserve">s established that assist these women </w:t>
      </w:r>
      <w:r w:rsidR="000C58FC">
        <w:rPr>
          <w:lang w:val="en-US"/>
        </w:rPr>
        <w:t xml:space="preserve">to </w:t>
      </w:r>
      <w:r w:rsidR="00006F2F">
        <w:rPr>
          <w:lang w:val="en-US"/>
        </w:rPr>
        <w:t>overcom</w:t>
      </w:r>
      <w:r w:rsidR="000C58FC">
        <w:rPr>
          <w:lang w:val="en-US"/>
        </w:rPr>
        <w:t>e</w:t>
      </w:r>
      <w:r w:rsidR="00006F2F">
        <w:rPr>
          <w:lang w:val="en-US"/>
        </w:rPr>
        <w:t xml:space="preserve"> the problems associated with sexual violence. </w:t>
      </w:r>
      <w:r>
        <w:rPr>
          <w:lang w:val="en-US"/>
        </w:rPr>
        <w:t xml:space="preserve">However, </w:t>
      </w:r>
      <w:r w:rsidR="00006F2F">
        <w:rPr>
          <w:lang w:val="en-US"/>
        </w:rPr>
        <w:t>there are relatively few population</w:t>
      </w:r>
      <w:r w:rsidR="00370883">
        <w:rPr>
          <w:lang w:val="en-US"/>
        </w:rPr>
        <w:t>=</w:t>
      </w:r>
      <w:r w:rsidR="00006F2F">
        <w:rPr>
          <w:lang w:val="en-US"/>
        </w:rPr>
        <w:t>based studies available that systematically compare the situation for survivors and non-survivors in general, and t</w:t>
      </w:r>
      <w:r w:rsidRPr="00344AAE">
        <w:rPr>
          <w:lang w:val="en-US"/>
        </w:rPr>
        <w:t xml:space="preserve">here is a significant knowledge gap in terms of evidence on how  </w:t>
      </w:r>
      <w:r w:rsidR="00370883">
        <w:rPr>
          <w:lang w:val="en-US"/>
        </w:rPr>
        <w:t xml:space="preserve">programs ameliorate </w:t>
      </w:r>
      <w:r w:rsidRPr="00344AAE">
        <w:rPr>
          <w:lang w:val="en-US"/>
        </w:rPr>
        <w:t>social exclusion of women in general and in eastern DRC in particular.</w:t>
      </w:r>
      <w:r w:rsidR="00006F2F">
        <w:rPr>
          <w:lang w:val="en-US"/>
        </w:rPr>
        <w:t xml:space="preserve"> </w:t>
      </w:r>
    </w:p>
    <w:p w14:paraId="64511BC0" w14:textId="60F8D5E1" w:rsidR="008A16CD" w:rsidRDefault="00006F2F" w:rsidP="00197FD0">
      <w:pPr>
        <w:rPr>
          <w:lang w:val="en-US"/>
        </w:rPr>
      </w:pPr>
      <w:r>
        <w:rPr>
          <w:lang w:val="en-US"/>
        </w:rPr>
        <w:t xml:space="preserve">This paper represents a first systematic survey-based study of the situation for women in eastern DRC, whether </w:t>
      </w:r>
      <w:r w:rsidRPr="00006F2F">
        <w:rPr>
          <w:lang w:val="en-US"/>
        </w:rPr>
        <w:t xml:space="preserve">the feeling of inclusion/exclusion </w:t>
      </w:r>
      <w:r>
        <w:rPr>
          <w:lang w:val="en-US"/>
        </w:rPr>
        <w:t xml:space="preserve">is </w:t>
      </w:r>
      <w:r w:rsidRPr="00006F2F">
        <w:rPr>
          <w:lang w:val="en-US"/>
        </w:rPr>
        <w:t xml:space="preserve">different </w:t>
      </w:r>
      <w:r>
        <w:rPr>
          <w:lang w:val="en-US"/>
        </w:rPr>
        <w:t>for survivors and non-survivors, and wh</w:t>
      </w:r>
      <w:r w:rsidR="007D1049">
        <w:rPr>
          <w:lang w:val="en-US"/>
        </w:rPr>
        <w:t>at impacts</w:t>
      </w:r>
      <w:r w:rsidRPr="00006F2F">
        <w:rPr>
          <w:lang w:val="en-US"/>
        </w:rPr>
        <w:t xml:space="preserve"> </w:t>
      </w:r>
      <w:r w:rsidR="007D1049">
        <w:rPr>
          <w:lang w:val="en-US"/>
        </w:rPr>
        <w:t>programming</w:t>
      </w:r>
      <w:r w:rsidRPr="00006F2F">
        <w:rPr>
          <w:lang w:val="en-US"/>
        </w:rPr>
        <w:t xml:space="preserve"> for survivors </w:t>
      </w:r>
      <w:r w:rsidR="007D1049">
        <w:rPr>
          <w:lang w:val="en-US"/>
        </w:rPr>
        <w:t>can have</w:t>
      </w:r>
      <w:r>
        <w:rPr>
          <w:lang w:val="en-US"/>
        </w:rPr>
        <w:t>. Based on a survey of 1,</w:t>
      </w:r>
      <w:r w:rsidR="00F5650F">
        <w:rPr>
          <w:lang w:val="en-US"/>
        </w:rPr>
        <w:t>2</w:t>
      </w:r>
      <w:r>
        <w:rPr>
          <w:lang w:val="en-US"/>
        </w:rPr>
        <w:t>0</w:t>
      </w:r>
      <w:r w:rsidR="00161D05">
        <w:rPr>
          <w:lang w:val="en-US"/>
        </w:rPr>
        <w:t>3</w:t>
      </w:r>
      <w:r>
        <w:rPr>
          <w:lang w:val="en-US"/>
        </w:rPr>
        <w:t xml:space="preserve"> </w:t>
      </w:r>
      <w:r>
        <w:rPr>
          <w:lang w:val="en-US"/>
        </w:rPr>
        <w:lastRenderedPageBreak/>
        <w:t xml:space="preserve">women </w:t>
      </w:r>
      <w:r w:rsidR="00161D05">
        <w:rPr>
          <w:lang w:val="en-US"/>
        </w:rPr>
        <w:t xml:space="preserve">in South Kivu </w:t>
      </w:r>
      <w:r>
        <w:rPr>
          <w:lang w:val="en-US"/>
        </w:rPr>
        <w:t xml:space="preserve">carried out in 2015, we find that survivors </w:t>
      </w:r>
      <w:r w:rsidR="00761649">
        <w:rPr>
          <w:lang w:val="en-US"/>
        </w:rPr>
        <w:t xml:space="preserve">feel </w:t>
      </w:r>
      <w:r>
        <w:rPr>
          <w:lang w:val="en-US"/>
        </w:rPr>
        <w:t xml:space="preserve">significantly less socially included than other women. In terms of the impact of programming, the programs are very highly regarded as helpful. However, the most important systematic </w:t>
      </w:r>
      <w:r w:rsidR="00435DD6">
        <w:rPr>
          <w:lang w:val="en-US"/>
        </w:rPr>
        <w:t xml:space="preserve">positive </w:t>
      </w:r>
      <w:r>
        <w:rPr>
          <w:lang w:val="en-US"/>
        </w:rPr>
        <w:t xml:space="preserve">effect for survivors is what the programs </w:t>
      </w:r>
      <w:r w:rsidR="00F5650F">
        <w:rPr>
          <w:lang w:val="en-US"/>
        </w:rPr>
        <w:t>did</w:t>
      </w:r>
      <w:r>
        <w:rPr>
          <w:lang w:val="en-US"/>
        </w:rPr>
        <w:t xml:space="preserve"> </w:t>
      </w:r>
      <w:r w:rsidR="00F5650F">
        <w:rPr>
          <w:lang w:val="en-US"/>
        </w:rPr>
        <w:t>to improve</w:t>
      </w:r>
      <w:r>
        <w:rPr>
          <w:lang w:val="en-US"/>
        </w:rPr>
        <w:t xml:space="preserve"> economic well-being. In terms of overcoming social exclusion problems, the programs seem less successful. When it comes to close social relations in particular, the survivors struggle to gain acceptance and to be valued and integrated into the communities. </w:t>
      </w:r>
    </w:p>
    <w:p w14:paraId="5B205C50" w14:textId="774DAEAF" w:rsidR="002A381D" w:rsidRDefault="002A381D" w:rsidP="00197FD0">
      <w:pPr>
        <w:rPr>
          <w:lang w:val="en-US"/>
        </w:rPr>
      </w:pPr>
      <w:r>
        <w:rPr>
          <w:lang w:val="en-US"/>
        </w:rPr>
        <w:t xml:space="preserve">Socio-economic empowerment is in itself of critical importance to women in DRC and perhaps to survivors of sexual violence who are rejected by their families or husbands in particular.  Whether the socio-economic improvement in a survivor’s situation </w:t>
      </w:r>
      <w:r w:rsidR="00C820C2">
        <w:rPr>
          <w:lang w:val="en-US"/>
        </w:rPr>
        <w:t>helps</w:t>
      </w:r>
      <w:r>
        <w:rPr>
          <w:lang w:val="en-US"/>
        </w:rPr>
        <w:t xml:space="preserve"> her in a significant way to gain acceptance and inclusion in the more intimate and personal spheres such as in the family seems less certain and less frequently the case.  This echoes also findings</w:t>
      </w:r>
      <w:r w:rsidR="008A16CD">
        <w:rPr>
          <w:lang w:val="en-US"/>
        </w:rPr>
        <w:t xml:space="preserve"> we have gathered from focus groups with women survivors of sexual violence in various locations in South Kivu, as well as with studies </w:t>
      </w:r>
      <w:r>
        <w:rPr>
          <w:lang w:val="en-US"/>
        </w:rPr>
        <w:t>looking at the issue of views of sexual violence survivors from the community perspective</w:t>
      </w:r>
      <w:r w:rsidR="008A16CD">
        <w:rPr>
          <w:lang w:val="en-US"/>
        </w:rPr>
        <w:t xml:space="preserve">. For example, </w:t>
      </w:r>
      <w:r>
        <w:rPr>
          <w:lang w:val="en-US"/>
        </w:rPr>
        <w:t xml:space="preserve">Finnbakk </w:t>
      </w:r>
      <w:r w:rsidR="008A16CD">
        <w:rPr>
          <w:lang w:val="en-US"/>
        </w:rPr>
        <w:t>(</w:t>
      </w:r>
      <w:r>
        <w:rPr>
          <w:lang w:val="en-US"/>
        </w:rPr>
        <w:t xml:space="preserve">2015) </w:t>
      </w:r>
      <w:r w:rsidR="008A16CD">
        <w:rPr>
          <w:lang w:val="en-US"/>
        </w:rPr>
        <w:t xml:space="preserve">finds that community members generally do not mind integrating survivors into the community in terms of the economic spheres such as in the marketplace, but they have strong reservations against more personal contact and association with survivors, who in the minds of community members have “lost their value”. Similarly, </w:t>
      </w:r>
      <w:r w:rsidR="008A16CD" w:rsidRPr="008A16CD">
        <w:rPr>
          <w:lang w:val="en-US"/>
        </w:rPr>
        <w:t xml:space="preserve">Babalola (2013) </w:t>
      </w:r>
      <w:r w:rsidR="008A16CD">
        <w:rPr>
          <w:lang w:val="en-US"/>
        </w:rPr>
        <w:t xml:space="preserve">finds that </w:t>
      </w:r>
      <w:r w:rsidR="008A16CD" w:rsidRPr="008A16CD">
        <w:rPr>
          <w:lang w:val="en-US"/>
        </w:rPr>
        <w:t>egalitarian and non-traditional gender attitudes were associated with lower prevalence of overall negative attitudes towards survivors</w:t>
      </w:r>
      <w:r w:rsidR="008A16CD">
        <w:rPr>
          <w:lang w:val="en-US"/>
        </w:rPr>
        <w:t xml:space="preserve">, and therefore </w:t>
      </w:r>
      <w:r w:rsidR="008A16CD" w:rsidRPr="008A16CD">
        <w:rPr>
          <w:lang w:val="en-US"/>
        </w:rPr>
        <w:t xml:space="preserve">concludes that changing negative gender norms would be an important effort in order to increase the acceptance towards survivors. </w:t>
      </w:r>
    </w:p>
    <w:p w14:paraId="18702A9B" w14:textId="6517E3F0" w:rsidR="00006F2F" w:rsidRDefault="002A381D" w:rsidP="00197FD0">
      <w:pPr>
        <w:rPr>
          <w:lang w:val="en-US"/>
        </w:rPr>
      </w:pPr>
      <w:r>
        <w:rPr>
          <w:lang w:val="en-US"/>
        </w:rPr>
        <w:t xml:space="preserve">One implication of the findings </w:t>
      </w:r>
      <w:r w:rsidR="008A16CD">
        <w:rPr>
          <w:lang w:val="en-US"/>
        </w:rPr>
        <w:t xml:space="preserve">reported based on our survey of women in eastern DRC </w:t>
      </w:r>
      <w:r w:rsidR="00435DD6">
        <w:rPr>
          <w:lang w:val="en-US"/>
        </w:rPr>
        <w:t>c</w:t>
      </w:r>
      <w:r w:rsidR="00006F2F">
        <w:rPr>
          <w:lang w:val="en-US"/>
        </w:rPr>
        <w:t xml:space="preserve">ould </w:t>
      </w:r>
      <w:r w:rsidR="008A16CD">
        <w:rPr>
          <w:lang w:val="en-US"/>
        </w:rPr>
        <w:t xml:space="preserve">therefore </w:t>
      </w:r>
      <w:r w:rsidR="00006F2F">
        <w:rPr>
          <w:lang w:val="en-US"/>
        </w:rPr>
        <w:t xml:space="preserve">be that efforts to help the situation for women survivors of sexual violence also needs to </w:t>
      </w:r>
      <w:r>
        <w:rPr>
          <w:lang w:val="en-US"/>
        </w:rPr>
        <w:t xml:space="preserve">include also a stronger </w:t>
      </w:r>
      <w:r w:rsidR="00006F2F">
        <w:rPr>
          <w:lang w:val="en-US"/>
        </w:rPr>
        <w:t>focus on the attitudes of families and communities surrounding survivors of sexual violence</w:t>
      </w:r>
      <w:r w:rsidR="00505D9D">
        <w:rPr>
          <w:lang w:val="en-US"/>
        </w:rPr>
        <w:t xml:space="preserve"> as well as continuous improvements of the programs themselves</w:t>
      </w:r>
      <w:r w:rsidR="00006F2F">
        <w:rPr>
          <w:lang w:val="en-US"/>
        </w:rPr>
        <w:t xml:space="preserve">, to try to find new ways to </w:t>
      </w:r>
      <w:r w:rsidR="00435DD6">
        <w:rPr>
          <w:lang w:val="en-US"/>
        </w:rPr>
        <w:t xml:space="preserve">overcome social exclusion mechanisms in </w:t>
      </w:r>
      <w:r w:rsidR="00161D05">
        <w:rPr>
          <w:lang w:val="en-US"/>
        </w:rPr>
        <w:t>various social settings</w:t>
      </w:r>
      <w:r>
        <w:rPr>
          <w:lang w:val="en-US"/>
        </w:rPr>
        <w:t xml:space="preserve">. </w:t>
      </w:r>
    </w:p>
    <w:p w14:paraId="140A5AF4" w14:textId="41975C25" w:rsidR="005446F1" w:rsidRDefault="00BA06E4" w:rsidP="00357F81">
      <w:pPr>
        <w:pStyle w:val="StyleHeading1Linespacing15lines"/>
      </w:pPr>
      <w:r w:rsidRPr="00255219">
        <w:t>R</w:t>
      </w:r>
      <w:r w:rsidR="00E12BB4" w:rsidRPr="00255219">
        <w:t>eferences</w:t>
      </w:r>
      <w:r w:rsidR="00F46C74">
        <w:t xml:space="preserve"> </w:t>
      </w:r>
    </w:p>
    <w:p w14:paraId="52B43FE3" w14:textId="4622CFB1" w:rsidR="0049053E" w:rsidRPr="00197FD0" w:rsidRDefault="0049053E" w:rsidP="00332180">
      <w:pPr>
        <w:pStyle w:val="References"/>
        <w:rPr>
          <w:sz w:val="24"/>
          <w:szCs w:val="24"/>
        </w:rPr>
      </w:pPr>
      <w:r w:rsidRPr="00926B34">
        <w:rPr>
          <w:sz w:val="24"/>
          <w:szCs w:val="24"/>
        </w:rPr>
        <w:t>Baaz, M.E.</w:t>
      </w:r>
      <w:r w:rsidR="00D46514" w:rsidRPr="00926B34">
        <w:rPr>
          <w:sz w:val="24"/>
          <w:szCs w:val="24"/>
        </w:rPr>
        <w:t>,</w:t>
      </w:r>
      <w:r w:rsidR="00947ED5">
        <w:rPr>
          <w:sz w:val="24"/>
          <w:szCs w:val="24"/>
        </w:rPr>
        <w:t xml:space="preserve"> </w:t>
      </w:r>
      <w:r w:rsidRPr="00926B34">
        <w:rPr>
          <w:sz w:val="24"/>
          <w:szCs w:val="24"/>
        </w:rPr>
        <w:t xml:space="preserve">Stern, M. </w:t>
      </w:r>
      <w:r w:rsidRPr="00197FD0">
        <w:rPr>
          <w:sz w:val="24"/>
          <w:szCs w:val="24"/>
        </w:rPr>
        <w:t xml:space="preserve">Why do soldiers rape? Masculinity, violence, and sexuality in the armed forces in the Congo (DRC). </w:t>
      </w:r>
      <w:r w:rsidRPr="00C8442E">
        <w:rPr>
          <w:i/>
          <w:sz w:val="24"/>
          <w:szCs w:val="24"/>
        </w:rPr>
        <w:t>International Studies Quarterly</w:t>
      </w:r>
      <w:r w:rsidR="00D46514">
        <w:rPr>
          <w:sz w:val="24"/>
          <w:szCs w:val="24"/>
        </w:rPr>
        <w:t xml:space="preserve">. 2009; </w:t>
      </w:r>
      <w:r w:rsidRPr="00197FD0">
        <w:rPr>
          <w:sz w:val="24"/>
          <w:szCs w:val="24"/>
        </w:rPr>
        <w:t>53(2): 495-518.</w:t>
      </w:r>
    </w:p>
    <w:p w14:paraId="15F45689" w14:textId="64C03EBB" w:rsidR="00332180" w:rsidRPr="00197FD0" w:rsidRDefault="00332180" w:rsidP="00332180">
      <w:pPr>
        <w:pStyle w:val="References"/>
        <w:rPr>
          <w:sz w:val="24"/>
          <w:szCs w:val="24"/>
        </w:rPr>
      </w:pPr>
      <w:r w:rsidRPr="00197FD0">
        <w:rPr>
          <w:sz w:val="24"/>
          <w:szCs w:val="24"/>
        </w:rPr>
        <w:t>Baaz, M</w:t>
      </w:r>
      <w:r w:rsidR="00947ED5">
        <w:rPr>
          <w:sz w:val="24"/>
          <w:szCs w:val="24"/>
        </w:rPr>
        <w:t xml:space="preserve">. </w:t>
      </w:r>
      <w:r w:rsidRPr="00197FD0">
        <w:rPr>
          <w:sz w:val="24"/>
          <w:szCs w:val="24"/>
        </w:rPr>
        <w:t>E</w:t>
      </w:r>
      <w:r w:rsidR="00947ED5">
        <w:rPr>
          <w:sz w:val="24"/>
          <w:szCs w:val="24"/>
        </w:rPr>
        <w:t>.</w:t>
      </w:r>
      <w:r w:rsidR="00D46514">
        <w:rPr>
          <w:sz w:val="24"/>
          <w:szCs w:val="24"/>
        </w:rPr>
        <w:t>,</w:t>
      </w:r>
      <w:r w:rsidRPr="00197FD0">
        <w:rPr>
          <w:sz w:val="24"/>
          <w:szCs w:val="24"/>
        </w:rPr>
        <w:t xml:space="preserve"> </w:t>
      </w:r>
      <w:r w:rsidR="00D46514" w:rsidRPr="00197FD0">
        <w:rPr>
          <w:sz w:val="24"/>
          <w:szCs w:val="24"/>
        </w:rPr>
        <w:t>Stern</w:t>
      </w:r>
      <w:r w:rsidR="00947ED5">
        <w:rPr>
          <w:sz w:val="24"/>
          <w:szCs w:val="24"/>
        </w:rPr>
        <w:t>,</w:t>
      </w:r>
      <w:r w:rsidR="00D46514">
        <w:rPr>
          <w:sz w:val="24"/>
          <w:szCs w:val="24"/>
        </w:rPr>
        <w:t xml:space="preserve"> </w:t>
      </w:r>
      <w:r w:rsidRPr="00197FD0">
        <w:rPr>
          <w:sz w:val="24"/>
          <w:szCs w:val="24"/>
        </w:rPr>
        <w:t>M</w:t>
      </w:r>
      <w:r w:rsidR="00D46514">
        <w:rPr>
          <w:sz w:val="24"/>
          <w:szCs w:val="24"/>
        </w:rPr>
        <w:t>.</w:t>
      </w:r>
      <w:r w:rsidRPr="00197FD0">
        <w:rPr>
          <w:sz w:val="24"/>
          <w:szCs w:val="24"/>
        </w:rPr>
        <w:t xml:space="preserve"> </w:t>
      </w:r>
      <w:r w:rsidRPr="00C8442E">
        <w:rPr>
          <w:i/>
          <w:sz w:val="24"/>
          <w:szCs w:val="24"/>
        </w:rPr>
        <w:t>Understanding and addressing conflict-related sexual violence: Lessons learned from the DRC</w:t>
      </w:r>
      <w:r w:rsidRPr="00197FD0">
        <w:rPr>
          <w:sz w:val="24"/>
          <w:szCs w:val="24"/>
        </w:rPr>
        <w:t xml:space="preserve">. The Nordic Africa Institute: Policy Notes 2010/3. </w:t>
      </w:r>
    </w:p>
    <w:p w14:paraId="59A88C47" w14:textId="609050F1" w:rsidR="00332180" w:rsidRPr="00197FD0" w:rsidRDefault="00332180" w:rsidP="00332180">
      <w:pPr>
        <w:pStyle w:val="References"/>
        <w:rPr>
          <w:sz w:val="24"/>
          <w:szCs w:val="24"/>
        </w:rPr>
      </w:pPr>
      <w:r w:rsidRPr="00197FD0">
        <w:rPr>
          <w:sz w:val="24"/>
          <w:szCs w:val="24"/>
        </w:rPr>
        <w:t xml:space="preserve">Babalola, </w:t>
      </w:r>
      <w:r w:rsidR="00D46514" w:rsidRPr="00197FD0">
        <w:rPr>
          <w:sz w:val="24"/>
          <w:szCs w:val="24"/>
        </w:rPr>
        <w:t>S</w:t>
      </w:r>
      <w:r w:rsidR="00D46514">
        <w:rPr>
          <w:sz w:val="24"/>
          <w:szCs w:val="24"/>
        </w:rPr>
        <w:t xml:space="preserve">. </w:t>
      </w:r>
      <w:r w:rsidRPr="00197FD0">
        <w:rPr>
          <w:sz w:val="24"/>
          <w:szCs w:val="24"/>
        </w:rPr>
        <w:t xml:space="preserve">O. Dimensions and Correlates of Negative Attitudes Toward Female Survivors of Sexual Violence in Eastern DRC. </w:t>
      </w:r>
      <w:r w:rsidRPr="00C8442E">
        <w:rPr>
          <w:i/>
          <w:sz w:val="24"/>
          <w:szCs w:val="24"/>
        </w:rPr>
        <w:t>Journal of Interpersonal Violence</w:t>
      </w:r>
      <w:r w:rsidRPr="00197FD0">
        <w:rPr>
          <w:sz w:val="24"/>
          <w:szCs w:val="24"/>
        </w:rPr>
        <w:t xml:space="preserve"> </w:t>
      </w:r>
      <w:r w:rsidR="00D46514" w:rsidRPr="00197FD0">
        <w:rPr>
          <w:sz w:val="24"/>
          <w:szCs w:val="24"/>
        </w:rPr>
        <w:t>2013</w:t>
      </w:r>
      <w:r w:rsidR="00D46514">
        <w:rPr>
          <w:sz w:val="24"/>
          <w:szCs w:val="24"/>
        </w:rPr>
        <w:t xml:space="preserve">, </w:t>
      </w:r>
      <w:r w:rsidRPr="00197FD0">
        <w:rPr>
          <w:sz w:val="24"/>
          <w:szCs w:val="24"/>
        </w:rPr>
        <w:t>1-19.</w:t>
      </w:r>
    </w:p>
    <w:p w14:paraId="321A56B6" w14:textId="1DDB95CE" w:rsidR="00332180" w:rsidRPr="00197FD0" w:rsidRDefault="00332180" w:rsidP="00332180">
      <w:pPr>
        <w:pStyle w:val="References"/>
        <w:rPr>
          <w:sz w:val="24"/>
          <w:szCs w:val="24"/>
        </w:rPr>
      </w:pPr>
      <w:r w:rsidRPr="00197FD0">
        <w:rPr>
          <w:sz w:val="24"/>
          <w:szCs w:val="24"/>
        </w:rPr>
        <w:lastRenderedPageBreak/>
        <w:t xml:space="preserve">Babalola, </w:t>
      </w:r>
      <w:r w:rsidR="00786E90" w:rsidRPr="00197FD0">
        <w:rPr>
          <w:sz w:val="24"/>
          <w:szCs w:val="24"/>
        </w:rPr>
        <w:t>S</w:t>
      </w:r>
      <w:r w:rsidR="00786E90">
        <w:rPr>
          <w:sz w:val="24"/>
          <w:szCs w:val="24"/>
        </w:rPr>
        <w:t>.</w:t>
      </w:r>
      <w:r w:rsidRPr="00197FD0">
        <w:rPr>
          <w:sz w:val="24"/>
          <w:szCs w:val="24"/>
        </w:rPr>
        <w:t xml:space="preserve">, Neetu A. </w:t>
      </w:r>
      <w:r w:rsidR="00786E90" w:rsidRPr="00197FD0">
        <w:rPr>
          <w:sz w:val="24"/>
          <w:szCs w:val="24"/>
        </w:rPr>
        <w:t>J</w:t>
      </w:r>
      <w:r w:rsidR="00786E90">
        <w:rPr>
          <w:sz w:val="24"/>
          <w:szCs w:val="24"/>
        </w:rPr>
        <w:t>.</w:t>
      </w:r>
      <w:r w:rsidRPr="00197FD0">
        <w:rPr>
          <w:sz w:val="24"/>
          <w:szCs w:val="24"/>
        </w:rPr>
        <w:t xml:space="preserve">, </w:t>
      </w:r>
      <w:r w:rsidR="00786E90" w:rsidRPr="00197FD0">
        <w:rPr>
          <w:sz w:val="24"/>
          <w:szCs w:val="24"/>
        </w:rPr>
        <w:t>Cernigliaro D</w:t>
      </w:r>
      <w:r w:rsidR="00786E90">
        <w:rPr>
          <w:sz w:val="24"/>
          <w:szCs w:val="24"/>
        </w:rPr>
        <w:t>.</w:t>
      </w:r>
      <w:r w:rsidRPr="00197FD0">
        <w:rPr>
          <w:sz w:val="24"/>
          <w:szCs w:val="24"/>
        </w:rPr>
        <w:t>, Dodo</w:t>
      </w:r>
      <w:r w:rsidR="00786E90">
        <w:rPr>
          <w:sz w:val="24"/>
          <w:szCs w:val="24"/>
        </w:rPr>
        <w:t>, M.</w:t>
      </w:r>
      <w:r w:rsidRPr="00197FD0">
        <w:rPr>
          <w:sz w:val="24"/>
          <w:szCs w:val="24"/>
        </w:rPr>
        <w:t xml:space="preserve"> Perceptions About Survivors of Sexual Violence in Eastern DRC: Conflicting Descriptive and Community-­- Prescribed Norms. </w:t>
      </w:r>
      <w:r w:rsidRPr="00C8442E">
        <w:rPr>
          <w:i/>
          <w:sz w:val="24"/>
          <w:szCs w:val="24"/>
        </w:rPr>
        <w:t>Journal of Community Psychology</w:t>
      </w:r>
      <w:r w:rsidRPr="00197FD0">
        <w:rPr>
          <w:sz w:val="24"/>
          <w:szCs w:val="24"/>
        </w:rPr>
        <w:t xml:space="preserve"> </w:t>
      </w:r>
      <w:r w:rsidR="00786E90" w:rsidRPr="00197FD0">
        <w:rPr>
          <w:sz w:val="24"/>
          <w:szCs w:val="24"/>
        </w:rPr>
        <w:t>2015</w:t>
      </w:r>
      <w:r w:rsidR="00786E90">
        <w:rPr>
          <w:sz w:val="24"/>
          <w:szCs w:val="24"/>
        </w:rPr>
        <w:t xml:space="preserve">; </w:t>
      </w:r>
      <w:r w:rsidRPr="00197FD0">
        <w:rPr>
          <w:sz w:val="24"/>
          <w:szCs w:val="24"/>
        </w:rPr>
        <w:t>43(2): 171–88.</w:t>
      </w:r>
    </w:p>
    <w:p w14:paraId="377D5291" w14:textId="1B7E16D4" w:rsidR="00332180" w:rsidRPr="00197FD0" w:rsidRDefault="00332180" w:rsidP="00332180">
      <w:pPr>
        <w:pStyle w:val="References"/>
        <w:rPr>
          <w:sz w:val="24"/>
          <w:szCs w:val="24"/>
        </w:rPr>
      </w:pPr>
      <w:r w:rsidRPr="00197FD0">
        <w:rPr>
          <w:sz w:val="24"/>
          <w:szCs w:val="24"/>
        </w:rPr>
        <w:t>Bartels, S</w:t>
      </w:r>
      <w:r w:rsidR="00786E90">
        <w:rPr>
          <w:sz w:val="24"/>
          <w:szCs w:val="24"/>
        </w:rPr>
        <w:t>,</w:t>
      </w:r>
      <w:r w:rsidRPr="00197FD0">
        <w:rPr>
          <w:sz w:val="24"/>
          <w:szCs w:val="24"/>
        </w:rPr>
        <w:t xml:space="preserve"> Scott</w:t>
      </w:r>
      <w:r w:rsidR="00786E90" w:rsidRPr="00786E90">
        <w:rPr>
          <w:sz w:val="24"/>
          <w:szCs w:val="24"/>
        </w:rPr>
        <w:t xml:space="preserve"> </w:t>
      </w:r>
      <w:r w:rsidR="00786E90" w:rsidRPr="00197FD0">
        <w:rPr>
          <w:sz w:val="24"/>
          <w:szCs w:val="24"/>
        </w:rPr>
        <w:t>JA</w:t>
      </w:r>
      <w:r w:rsidRPr="00197FD0">
        <w:rPr>
          <w:sz w:val="24"/>
          <w:szCs w:val="24"/>
        </w:rPr>
        <w:t xml:space="preserve">; </w:t>
      </w:r>
      <w:r w:rsidR="00786E90" w:rsidRPr="00197FD0">
        <w:rPr>
          <w:sz w:val="24"/>
          <w:szCs w:val="24"/>
        </w:rPr>
        <w:t xml:space="preserve">Mukwege </w:t>
      </w:r>
      <w:r w:rsidRPr="00197FD0">
        <w:rPr>
          <w:sz w:val="24"/>
          <w:szCs w:val="24"/>
        </w:rPr>
        <w:t>D</w:t>
      </w:r>
      <w:r w:rsidR="00786E90">
        <w:rPr>
          <w:sz w:val="24"/>
          <w:szCs w:val="24"/>
        </w:rPr>
        <w:t>.</w:t>
      </w:r>
      <w:r w:rsidRPr="00197FD0">
        <w:rPr>
          <w:sz w:val="24"/>
          <w:szCs w:val="24"/>
        </w:rPr>
        <w:t>; Lipton</w:t>
      </w:r>
      <w:r w:rsidR="00786E90">
        <w:rPr>
          <w:sz w:val="24"/>
          <w:szCs w:val="24"/>
        </w:rPr>
        <w:t xml:space="preserve"> </w:t>
      </w:r>
      <w:r w:rsidR="00786E90" w:rsidRPr="00197FD0">
        <w:rPr>
          <w:sz w:val="24"/>
          <w:szCs w:val="24"/>
        </w:rPr>
        <w:t>R</w:t>
      </w:r>
      <w:r w:rsidRPr="00197FD0">
        <w:rPr>
          <w:sz w:val="24"/>
          <w:szCs w:val="24"/>
        </w:rPr>
        <w:t>; VanRooyen</w:t>
      </w:r>
      <w:r w:rsidR="00786E90">
        <w:rPr>
          <w:sz w:val="24"/>
          <w:szCs w:val="24"/>
        </w:rPr>
        <w:t xml:space="preserve"> </w:t>
      </w:r>
      <w:r w:rsidR="00786E90" w:rsidRPr="00197FD0">
        <w:rPr>
          <w:sz w:val="24"/>
          <w:szCs w:val="24"/>
        </w:rPr>
        <w:t>MJ</w:t>
      </w:r>
      <w:r w:rsidR="00786E90">
        <w:rPr>
          <w:sz w:val="24"/>
          <w:szCs w:val="24"/>
        </w:rPr>
        <w:t xml:space="preserve">, </w:t>
      </w:r>
      <w:r w:rsidRPr="00197FD0">
        <w:rPr>
          <w:sz w:val="24"/>
          <w:szCs w:val="24"/>
        </w:rPr>
        <w:t xml:space="preserve">Leaning </w:t>
      </w:r>
      <w:r w:rsidR="00786E90" w:rsidRPr="00197FD0">
        <w:rPr>
          <w:sz w:val="24"/>
          <w:szCs w:val="24"/>
        </w:rPr>
        <w:t>J</w:t>
      </w:r>
      <w:r w:rsidR="00786E90">
        <w:rPr>
          <w:sz w:val="24"/>
          <w:szCs w:val="24"/>
        </w:rPr>
        <w:t>.</w:t>
      </w:r>
      <w:r w:rsidR="00786E90" w:rsidRPr="00197FD0">
        <w:rPr>
          <w:sz w:val="24"/>
          <w:szCs w:val="24"/>
        </w:rPr>
        <w:t xml:space="preserve"> </w:t>
      </w:r>
      <w:r w:rsidRPr="00197FD0">
        <w:rPr>
          <w:sz w:val="24"/>
          <w:szCs w:val="24"/>
        </w:rPr>
        <w:t xml:space="preserve">Patterns of sexual violence in eastern Democratic Republic of Congo: Reports from survivors presenting to Panzi Hospital in 2006. </w:t>
      </w:r>
      <w:r w:rsidRPr="00C8442E">
        <w:rPr>
          <w:i/>
          <w:sz w:val="24"/>
          <w:szCs w:val="24"/>
        </w:rPr>
        <w:t>Conflict and Health</w:t>
      </w:r>
      <w:r w:rsidR="00786E90">
        <w:rPr>
          <w:sz w:val="24"/>
          <w:szCs w:val="24"/>
        </w:rPr>
        <w:t xml:space="preserve"> 2010a;</w:t>
      </w:r>
      <w:r w:rsidR="00786E90" w:rsidRPr="00197FD0">
        <w:rPr>
          <w:sz w:val="24"/>
          <w:szCs w:val="24"/>
        </w:rPr>
        <w:t xml:space="preserve"> </w:t>
      </w:r>
      <w:r w:rsidRPr="00197FD0">
        <w:rPr>
          <w:sz w:val="24"/>
          <w:szCs w:val="24"/>
        </w:rPr>
        <w:t>4(9).</w:t>
      </w:r>
    </w:p>
    <w:p w14:paraId="5DD56555" w14:textId="4F3E7E5C" w:rsidR="00332180" w:rsidRPr="00197FD0" w:rsidRDefault="00332180" w:rsidP="00332180">
      <w:pPr>
        <w:pStyle w:val="References"/>
        <w:rPr>
          <w:sz w:val="24"/>
          <w:szCs w:val="24"/>
        </w:rPr>
      </w:pPr>
      <w:r w:rsidRPr="00197FD0">
        <w:rPr>
          <w:sz w:val="24"/>
          <w:szCs w:val="24"/>
        </w:rPr>
        <w:t xml:space="preserve">Bartels, </w:t>
      </w:r>
      <w:r w:rsidR="00786E90" w:rsidRPr="00197FD0">
        <w:rPr>
          <w:sz w:val="24"/>
          <w:szCs w:val="24"/>
        </w:rPr>
        <w:t>S</w:t>
      </w:r>
      <w:r w:rsidR="00786E90">
        <w:rPr>
          <w:sz w:val="24"/>
          <w:szCs w:val="24"/>
        </w:rPr>
        <w:t>.</w:t>
      </w:r>
      <w:r w:rsidR="00786E90" w:rsidRPr="00197FD0">
        <w:rPr>
          <w:sz w:val="24"/>
          <w:szCs w:val="24"/>
        </w:rPr>
        <w:t xml:space="preserve"> </w:t>
      </w:r>
      <w:r w:rsidRPr="00197FD0">
        <w:rPr>
          <w:sz w:val="24"/>
          <w:szCs w:val="24"/>
        </w:rPr>
        <w:t xml:space="preserve">et al. Surviving Sexual Violence in Eastern Democratic Republic of Congo. </w:t>
      </w:r>
      <w:r w:rsidRPr="00C8442E">
        <w:rPr>
          <w:i/>
          <w:sz w:val="24"/>
          <w:szCs w:val="24"/>
        </w:rPr>
        <w:t>Journal of International Women’s Studies</w:t>
      </w:r>
      <w:r w:rsidR="00947ED5">
        <w:rPr>
          <w:sz w:val="24"/>
          <w:szCs w:val="24"/>
        </w:rPr>
        <w:t xml:space="preserve"> </w:t>
      </w:r>
      <w:r w:rsidRPr="00197FD0">
        <w:rPr>
          <w:sz w:val="24"/>
          <w:szCs w:val="24"/>
        </w:rPr>
        <w:t xml:space="preserve">Volume 11, No. 4 (2010): 37-49. </w:t>
      </w:r>
    </w:p>
    <w:p w14:paraId="2385EB67" w14:textId="77777777" w:rsidR="00DB3E73" w:rsidRDefault="00DB3E73" w:rsidP="00332180">
      <w:pPr>
        <w:pStyle w:val="References"/>
        <w:rPr>
          <w:sz w:val="24"/>
          <w:szCs w:val="24"/>
        </w:rPr>
      </w:pPr>
      <w:r w:rsidRPr="00DB3E73">
        <w:rPr>
          <w:sz w:val="24"/>
          <w:szCs w:val="24"/>
        </w:rPr>
        <w:t xml:space="preserve">Blay-Tofey, Morkeh, and Bandy X. Lee. "Preventing gender-based violence engendered by conflict: The case of Côte d'Ivoire." </w:t>
      </w:r>
      <w:r w:rsidRPr="000D475F">
        <w:rPr>
          <w:i/>
          <w:sz w:val="24"/>
          <w:szCs w:val="24"/>
        </w:rPr>
        <w:t>Social Science &amp; Medicine</w:t>
      </w:r>
      <w:r w:rsidRPr="00DB3E73">
        <w:rPr>
          <w:sz w:val="24"/>
          <w:szCs w:val="24"/>
        </w:rPr>
        <w:t xml:space="preserve"> 146 (2015): 341-347.</w:t>
      </w:r>
    </w:p>
    <w:p w14:paraId="5E9D53DB" w14:textId="63A48C3B" w:rsidR="00332180" w:rsidRPr="00197FD0" w:rsidRDefault="00332180" w:rsidP="00332180">
      <w:pPr>
        <w:pStyle w:val="References"/>
        <w:rPr>
          <w:sz w:val="24"/>
          <w:szCs w:val="24"/>
        </w:rPr>
      </w:pPr>
      <w:r w:rsidRPr="00197FD0">
        <w:rPr>
          <w:sz w:val="24"/>
          <w:szCs w:val="24"/>
        </w:rPr>
        <w:t xml:space="preserve">Bolton P. </w:t>
      </w:r>
      <w:r w:rsidRPr="00197FD0">
        <w:rPr>
          <w:i/>
          <w:sz w:val="24"/>
          <w:szCs w:val="24"/>
        </w:rPr>
        <w:t>Assessing the Impact of the IRC Program for Survivors of Gender Based Violence in Eastern Democratic Republic of Congo - Final Report</w:t>
      </w:r>
      <w:r w:rsidRPr="00197FD0">
        <w:rPr>
          <w:sz w:val="24"/>
          <w:szCs w:val="24"/>
        </w:rPr>
        <w:t xml:space="preserve">. </w:t>
      </w:r>
      <w:r w:rsidR="00786E90" w:rsidRPr="00197FD0">
        <w:rPr>
          <w:sz w:val="24"/>
          <w:szCs w:val="24"/>
        </w:rPr>
        <w:t>2009</w:t>
      </w:r>
      <w:r w:rsidR="00786E90">
        <w:rPr>
          <w:sz w:val="24"/>
          <w:szCs w:val="24"/>
        </w:rPr>
        <w:t xml:space="preserve">; </w:t>
      </w:r>
      <w:r w:rsidRPr="00197FD0">
        <w:rPr>
          <w:sz w:val="24"/>
          <w:szCs w:val="24"/>
        </w:rPr>
        <w:t>Washington, DC: USAID; International Rescue Committee; Johns Hopkins. Bloomberg School of Public Health.</w:t>
      </w:r>
    </w:p>
    <w:p w14:paraId="54A6DA90" w14:textId="3B7D4B7D" w:rsidR="00332180" w:rsidRPr="00197FD0" w:rsidRDefault="00332180" w:rsidP="00332180">
      <w:pPr>
        <w:pStyle w:val="References"/>
        <w:rPr>
          <w:sz w:val="24"/>
          <w:szCs w:val="24"/>
        </w:rPr>
      </w:pPr>
      <w:r w:rsidRPr="00197FD0">
        <w:rPr>
          <w:sz w:val="24"/>
          <w:szCs w:val="24"/>
        </w:rPr>
        <w:t xml:space="preserve">Bosmans, M. Challenges in aid to rape victims: The case of the DRC. </w:t>
      </w:r>
      <w:r w:rsidRPr="00C8442E">
        <w:rPr>
          <w:i/>
          <w:sz w:val="24"/>
          <w:szCs w:val="24"/>
        </w:rPr>
        <w:t>Essex Human Rights Review</w:t>
      </w:r>
      <w:r w:rsidRPr="00197FD0">
        <w:rPr>
          <w:sz w:val="24"/>
          <w:szCs w:val="24"/>
        </w:rPr>
        <w:t xml:space="preserve"> </w:t>
      </w:r>
      <w:r w:rsidR="00786E90" w:rsidRPr="00197FD0">
        <w:rPr>
          <w:sz w:val="24"/>
          <w:szCs w:val="24"/>
        </w:rPr>
        <w:t>(2007)</w:t>
      </w:r>
      <w:r w:rsidRPr="00197FD0">
        <w:rPr>
          <w:sz w:val="24"/>
          <w:szCs w:val="24"/>
        </w:rPr>
        <w:t>4(1).</w:t>
      </w:r>
    </w:p>
    <w:p w14:paraId="6B5F2DB1" w14:textId="12616A24" w:rsidR="00332180" w:rsidRPr="00197FD0" w:rsidRDefault="00332180" w:rsidP="00332180">
      <w:pPr>
        <w:pStyle w:val="References"/>
        <w:rPr>
          <w:sz w:val="24"/>
          <w:szCs w:val="24"/>
        </w:rPr>
      </w:pPr>
      <w:r w:rsidRPr="00926B34">
        <w:rPr>
          <w:sz w:val="24"/>
          <w:szCs w:val="24"/>
        </w:rPr>
        <w:t>Cohen, D</w:t>
      </w:r>
      <w:r w:rsidR="00643D5F" w:rsidRPr="00926B34">
        <w:rPr>
          <w:sz w:val="24"/>
          <w:szCs w:val="24"/>
        </w:rPr>
        <w:t>.K.</w:t>
      </w:r>
      <w:r w:rsidR="00786E90" w:rsidRPr="00926B34">
        <w:rPr>
          <w:sz w:val="24"/>
          <w:szCs w:val="24"/>
        </w:rPr>
        <w:t>,</w:t>
      </w:r>
      <w:r w:rsidRPr="00926B34">
        <w:rPr>
          <w:sz w:val="24"/>
          <w:szCs w:val="24"/>
        </w:rPr>
        <w:t xml:space="preserve"> </w:t>
      </w:r>
      <w:r w:rsidR="00786E90" w:rsidRPr="00926B34">
        <w:rPr>
          <w:sz w:val="24"/>
          <w:szCs w:val="24"/>
        </w:rPr>
        <w:t xml:space="preserve">Nordås </w:t>
      </w:r>
      <w:r w:rsidRPr="00926B34">
        <w:rPr>
          <w:sz w:val="24"/>
          <w:szCs w:val="24"/>
        </w:rPr>
        <w:t xml:space="preserve">R. </w:t>
      </w:r>
      <w:r w:rsidRPr="00197FD0">
        <w:rPr>
          <w:sz w:val="24"/>
          <w:szCs w:val="24"/>
        </w:rPr>
        <w:t xml:space="preserve">Sexual Violence in Armed Conflict Introducing the SVAC Dataset, 1989–2009. </w:t>
      </w:r>
      <w:r w:rsidRPr="00C8442E">
        <w:rPr>
          <w:i/>
          <w:sz w:val="24"/>
          <w:szCs w:val="24"/>
        </w:rPr>
        <w:t>Journal of Peace Research</w:t>
      </w:r>
      <w:r w:rsidRPr="00197FD0">
        <w:rPr>
          <w:sz w:val="24"/>
          <w:szCs w:val="24"/>
        </w:rPr>
        <w:t xml:space="preserve"> </w:t>
      </w:r>
      <w:r w:rsidR="00786E90" w:rsidRPr="00926B34">
        <w:rPr>
          <w:sz w:val="24"/>
          <w:szCs w:val="24"/>
        </w:rPr>
        <w:t xml:space="preserve">2014; </w:t>
      </w:r>
      <w:r w:rsidRPr="00197FD0">
        <w:rPr>
          <w:sz w:val="24"/>
          <w:szCs w:val="24"/>
        </w:rPr>
        <w:t xml:space="preserve">51(3): 418–28.  </w:t>
      </w:r>
    </w:p>
    <w:p w14:paraId="792E223C" w14:textId="2B8263DE" w:rsidR="00332180" w:rsidRPr="00197FD0" w:rsidRDefault="00332180" w:rsidP="00332180">
      <w:pPr>
        <w:pStyle w:val="References"/>
        <w:rPr>
          <w:sz w:val="24"/>
          <w:szCs w:val="24"/>
        </w:rPr>
      </w:pPr>
      <w:r w:rsidRPr="00504A34">
        <w:rPr>
          <w:sz w:val="24"/>
          <w:szCs w:val="24"/>
          <w:lang w:val="fr-FR"/>
        </w:rPr>
        <w:t xml:space="preserve">Dossa, </w:t>
      </w:r>
      <w:r w:rsidR="00786E90" w:rsidRPr="00504A34">
        <w:rPr>
          <w:sz w:val="24"/>
          <w:szCs w:val="24"/>
          <w:lang w:val="fr-FR"/>
        </w:rPr>
        <w:t>N</w:t>
      </w:r>
      <w:r w:rsidR="00786E90">
        <w:rPr>
          <w:sz w:val="24"/>
          <w:szCs w:val="24"/>
          <w:lang w:val="fr-FR"/>
        </w:rPr>
        <w:t>.</w:t>
      </w:r>
      <w:r w:rsidR="00786E90" w:rsidRPr="00504A34">
        <w:rPr>
          <w:sz w:val="24"/>
          <w:szCs w:val="24"/>
          <w:lang w:val="fr-FR"/>
        </w:rPr>
        <w:t xml:space="preserve"> I</w:t>
      </w:r>
      <w:r w:rsidR="00786E90">
        <w:rPr>
          <w:sz w:val="24"/>
          <w:szCs w:val="24"/>
          <w:lang w:val="fr-FR"/>
        </w:rPr>
        <w:t>.</w:t>
      </w:r>
      <w:r w:rsidRPr="00504A34">
        <w:rPr>
          <w:sz w:val="24"/>
          <w:szCs w:val="24"/>
          <w:lang w:val="fr-FR"/>
        </w:rPr>
        <w:t xml:space="preserve">; </w:t>
      </w:r>
      <w:r w:rsidR="00786E90" w:rsidRPr="00504A34">
        <w:rPr>
          <w:sz w:val="24"/>
          <w:szCs w:val="24"/>
          <w:lang w:val="fr-FR"/>
        </w:rPr>
        <w:t>Zunzunegui M</w:t>
      </w:r>
      <w:r w:rsidR="00786E90">
        <w:rPr>
          <w:sz w:val="24"/>
          <w:szCs w:val="24"/>
          <w:lang w:val="fr-FR"/>
        </w:rPr>
        <w:t>.</w:t>
      </w:r>
      <w:r w:rsidR="00786E90" w:rsidRPr="00504A34">
        <w:rPr>
          <w:sz w:val="24"/>
          <w:szCs w:val="24"/>
          <w:lang w:val="fr-FR"/>
        </w:rPr>
        <w:t xml:space="preserve"> V</w:t>
      </w:r>
      <w:r w:rsidR="00786E90">
        <w:rPr>
          <w:sz w:val="24"/>
          <w:szCs w:val="24"/>
          <w:lang w:val="fr-FR"/>
        </w:rPr>
        <w:t>.</w:t>
      </w:r>
      <w:r w:rsidRPr="00504A34">
        <w:rPr>
          <w:sz w:val="24"/>
          <w:szCs w:val="24"/>
          <w:lang w:val="fr-FR"/>
        </w:rPr>
        <w:t xml:space="preserve">, </w:t>
      </w:r>
      <w:r w:rsidR="00786E90" w:rsidRPr="00504A34">
        <w:rPr>
          <w:sz w:val="24"/>
          <w:szCs w:val="24"/>
          <w:lang w:val="fr-FR"/>
        </w:rPr>
        <w:t>Hatem M</w:t>
      </w:r>
      <w:r w:rsidR="00786E90">
        <w:rPr>
          <w:sz w:val="24"/>
          <w:szCs w:val="24"/>
          <w:lang w:val="fr-FR"/>
        </w:rPr>
        <w:t>.,</w:t>
      </w:r>
      <w:r w:rsidR="00786E90" w:rsidRPr="00786E90">
        <w:rPr>
          <w:sz w:val="24"/>
          <w:szCs w:val="24"/>
          <w:lang w:val="fr-FR"/>
        </w:rPr>
        <w:t xml:space="preserve"> </w:t>
      </w:r>
      <w:r w:rsidR="00786E90" w:rsidRPr="00504A34">
        <w:rPr>
          <w:sz w:val="24"/>
          <w:szCs w:val="24"/>
          <w:lang w:val="fr-FR"/>
        </w:rPr>
        <w:t>Fraser</w:t>
      </w:r>
      <w:r w:rsidR="00786E90" w:rsidRPr="00504A34" w:rsidDel="00786E90">
        <w:rPr>
          <w:sz w:val="24"/>
          <w:szCs w:val="24"/>
          <w:lang w:val="fr-FR"/>
        </w:rPr>
        <w:t xml:space="preserve"> </w:t>
      </w:r>
      <w:r w:rsidRPr="00504A34">
        <w:rPr>
          <w:sz w:val="24"/>
          <w:szCs w:val="24"/>
          <w:lang w:val="fr-FR"/>
        </w:rPr>
        <w:t>W</w:t>
      </w:r>
      <w:r w:rsidR="00786E90">
        <w:rPr>
          <w:sz w:val="24"/>
          <w:szCs w:val="24"/>
          <w:lang w:val="fr-FR"/>
        </w:rPr>
        <w:t>.</w:t>
      </w:r>
      <w:r w:rsidRPr="00504A34">
        <w:rPr>
          <w:sz w:val="24"/>
          <w:szCs w:val="24"/>
          <w:lang w:val="fr-FR"/>
        </w:rPr>
        <w:t xml:space="preserve"> </w:t>
      </w:r>
      <w:r w:rsidR="00786E90" w:rsidRPr="00504A34">
        <w:rPr>
          <w:sz w:val="24"/>
          <w:szCs w:val="24"/>
          <w:lang w:val="fr-FR"/>
        </w:rPr>
        <w:t>D</w:t>
      </w:r>
      <w:r w:rsidR="00786E90">
        <w:rPr>
          <w:sz w:val="24"/>
          <w:szCs w:val="24"/>
          <w:lang w:val="fr-FR"/>
        </w:rPr>
        <w:t>.</w:t>
      </w:r>
      <w:r w:rsidR="00786E90" w:rsidRPr="00504A34">
        <w:rPr>
          <w:sz w:val="24"/>
          <w:szCs w:val="24"/>
          <w:lang w:val="fr-FR"/>
        </w:rPr>
        <w:t xml:space="preserve"> </w:t>
      </w:r>
      <w:r w:rsidRPr="00197FD0">
        <w:rPr>
          <w:sz w:val="24"/>
          <w:szCs w:val="24"/>
        </w:rPr>
        <w:t xml:space="preserve">Mental Health Disorders Among Women Victims of Conflict-Related Sexual Violence in the Democratic Republic of Congo. </w:t>
      </w:r>
      <w:r w:rsidRPr="00C8442E">
        <w:rPr>
          <w:i/>
          <w:sz w:val="24"/>
          <w:szCs w:val="24"/>
        </w:rPr>
        <w:t>Journal of Interpersonal Violence</w:t>
      </w:r>
      <w:r w:rsidRPr="00947ED5">
        <w:rPr>
          <w:i/>
          <w:sz w:val="24"/>
          <w:szCs w:val="24"/>
        </w:rPr>
        <w:t xml:space="preserve"> </w:t>
      </w:r>
      <w:r w:rsidR="00786E90" w:rsidRPr="00504A34">
        <w:rPr>
          <w:sz w:val="24"/>
          <w:szCs w:val="24"/>
          <w:lang w:val="fr-FR"/>
        </w:rPr>
        <w:t xml:space="preserve">(2014). </w:t>
      </w:r>
      <w:r w:rsidRPr="00197FD0">
        <w:rPr>
          <w:rFonts w:cs="GillSansStd"/>
          <w:sz w:val="24"/>
          <w:szCs w:val="24"/>
          <w:lang w:eastAsia="nb-NO"/>
        </w:rPr>
        <w:t>DOI: 10.1177/0886260514552447</w:t>
      </w:r>
    </w:p>
    <w:p w14:paraId="79E4450A" w14:textId="62E61B9C" w:rsidR="00332180" w:rsidRPr="00197FD0" w:rsidRDefault="00332180" w:rsidP="00332180">
      <w:pPr>
        <w:pStyle w:val="References"/>
        <w:rPr>
          <w:sz w:val="24"/>
          <w:szCs w:val="24"/>
        </w:rPr>
      </w:pPr>
      <w:r w:rsidRPr="00504A34">
        <w:rPr>
          <w:sz w:val="24"/>
          <w:szCs w:val="24"/>
          <w:lang w:val="fr-FR"/>
        </w:rPr>
        <w:t>Douma, N</w:t>
      </w:r>
      <w:r w:rsidR="00786E90">
        <w:rPr>
          <w:sz w:val="24"/>
          <w:szCs w:val="24"/>
          <w:lang w:val="fr-FR"/>
        </w:rPr>
        <w:t>,</w:t>
      </w:r>
      <w:r w:rsidRPr="00504A34">
        <w:rPr>
          <w:sz w:val="24"/>
          <w:szCs w:val="24"/>
          <w:lang w:val="fr-FR"/>
        </w:rPr>
        <w:t xml:space="preserve"> Hilhorst </w:t>
      </w:r>
      <w:r w:rsidR="00786E90" w:rsidRPr="00504A34">
        <w:rPr>
          <w:sz w:val="24"/>
          <w:szCs w:val="24"/>
          <w:lang w:val="fr-FR"/>
        </w:rPr>
        <w:t>D</w:t>
      </w:r>
      <w:r w:rsidRPr="00504A34">
        <w:rPr>
          <w:sz w:val="24"/>
          <w:szCs w:val="24"/>
          <w:lang w:val="fr-FR"/>
        </w:rPr>
        <w:t xml:space="preserve">. </w:t>
      </w:r>
      <w:r w:rsidRPr="00C8442E">
        <w:rPr>
          <w:i/>
          <w:sz w:val="24"/>
          <w:szCs w:val="24"/>
          <w:lang w:val="fr-FR"/>
        </w:rPr>
        <w:t xml:space="preserve">Fond de commerce? </w:t>
      </w:r>
      <w:r w:rsidRPr="00C8442E">
        <w:rPr>
          <w:i/>
          <w:sz w:val="24"/>
          <w:szCs w:val="24"/>
        </w:rPr>
        <w:t>Sexual violence assistance in the Democratic Republic of Congo</w:t>
      </w:r>
      <w:r w:rsidRPr="00197FD0">
        <w:rPr>
          <w:sz w:val="24"/>
          <w:szCs w:val="24"/>
        </w:rPr>
        <w:t xml:space="preserve">. Wageningen Univ: Disaster Studies, Occasional paper no. 02. </w:t>
      </w:r>
      <w:r w:rsidR="00786E90" w:rsidRPr="00504A34">
        <w:rPr>
          <w:sz w:val="24"/>
          <w:szCs w:val="24"/>
          <w:lang w:val="fr-FR"/>
        </w:rPr>
        <w:t>(2012)</w:t>
      </w:r>
    </w:p>
    <w:p w14:paraId="4B7EFE9C" w14:textId="0B1BD6B4" w:rsidR="00332180" w:rsidRPr="00197FD0" w:rsidRDefault="00332180" w:rsidP="00332180">
      <w:pPr>
        <w:pStyle w:val="References"/>
        <w:rPr>
          <w:sz w:val="24"/>
          <w:szCs w:val="24"/>
        </w:rPr>
      </w:pPr>
      <w:r w:rsidRPr="00197FD0">
        <w:rPr>
          <w:sz w:val="24"/>
          <w:szCs w:val="24"/>
        </w:rPr>
        <w:t xml:space="preserve">Finnbakk, </w:t>
      </w:r>
      <w:r w:rsidR="00786E90" w:rsidRPr="00197FD0">
        <w:rPr>
          <w:sz w:val="24"/>
          <w:szCs w:val="24"/>
        </w:rPr>
        <w:t>I</w:t>
      </w:r>
      <w:r w:rsidR="00786E90">
        <w:rPr>
          <w:sz w:val="24"/>
          <w:szCs w:val="24"/>
        </w:rPr>
        <w:t>.</w:t>
      </w:r>
      <w:r w:rsidR="00786E90" w:rsidRPr="00197FD0">
        <w:rPr>
          <w:sz w:val="24"/>
          <w:szCs w:val="24"/>
        </w:rPr>
        <w:t xml:space="preserve"> </w:t>
      </w:r>
      <w:r w:rsidRPr="00C8442E">
        <w:rPr>
          <w:i/>
          <w:sz w:val="24"/>
          <w:szCs w:val="24"/>
        </w:rPr>
        <w:t>Community perceptions towards sexual violence: A qualitative study from the eastern Democratic Republic of the Congo</w:t>
      </w:r>
      <w:r w:rsidRPr="00197FD0">
        <w:rPr>
          <w:sz w:val="24"/>
          <w:szCs w:val="24"/>
        </w:rPr>
        <w:t>. MA thesis, University of Oslo.</w:t>
      </w:r>
      <w:r w:rsidR="00786E90">
        <w:rPr>
          <w:sz w:val="24"/>
          <w:szCs w:val="24"/>
        </w:rPr>
        <w:t xml:space="preserve"> </w:t>
      </w:r>
      <w:r w:rsidR="00786E90" w:rsidRPr="00197FD0">
        <w:rPr>
          <w:sz w:val="24"/>
          <w:szCs w:val="24"/>
        </w:rPr>
        <w:t>(2015)</w:t>
      </w:r>
    </w:p>
    <w:p w14:paraId="3BA206E0" w14:textId="443E0A53" w:rsidR="009928F0" w:rsidRDefault="009928F0" w:rsidP="00332180">
      <w:pPr>
        <w:pStyle w:val="References"/>
        <w:rPr>
          <w:sz w:val="24"/>
          <w:szCs w:val="24"/>
        </w:rPr>
      </w:pPr>
      <w:r w:rsidRPr="009928F0">
        <w:rPr>
          <w:sz w:val="24"/>
          <w:szCs w:val="24"/>
        </w:rPr>
        <w:t xml:space="preserve">Haer, R., Hecker, T. and Maedl, A.. Former Combatants on Sexual Violence During Warfare: A Comparative Study of the Perspectives of Perpetrators, Victims, and Witnesses. </w:t>
      </w:r>
      <w:r w:rsidRPr="00C8442E">
        <w:rPr>
          <w:i/>
          <w:sz w:val="24"/>
          <w:szCs w:val="24"/>
        </w:rPr>
        <w:t>Human Rights Quarterly</w:t>
      </w:r>
      <w:r w:rsidR="00786E90">
        <w:rPr>
          <w:sz w:val="24"/>
          <w:szCs w:val="24"/>
        </w:rPr>
        <w:t xml:space="preserve"> </w:t>
      </w:r>
      <w:r w:rsidR="00786E90" w:rsidRPr="009928F0">
        <w:rPr>
          <w:sz w:val="24"/>
          <w:szCs w:val="24"/>
        </w:rPr>
        <w:t>2015</w:t>
      </w:r>
      <w:r w:rsidR="00786E90">
        <w:rPr>
          <w:sz w:val="24"/>
          <w:szCs w:val="24"/>
        </w:rPr>
        <w:t xml:space="preserve">; </w:t>
      </w:r>
      <w:r w:rsidRPr="009928F0">
        <w:rPr>
          <w:sz w:val="24"/>
          <w:szCs w:val="24"/>
        </w:rPr>
        <w:t>37(3), pp.609-628.</w:t>
      </w:r>
    </w:p>
    <w:p w14:paraId="6479B83B" w14:textId="0AB81350" w:rsidR="00332180" w:rsidRPr="00197FD0" w:rsidRDefault="00332180" w:rsidP="00332180">
      <w:pPr>
        <w:pStyle w:val="References"/>
        <w:rPr>
          <w:sz w:val="24"/>
          <w:szCs w:val="24"/>
        </w:rPr>
      </w:pPr>
      <w:r w:rsidRPr="00197FD0">
        <w:rPr>
          <w:sz w:val="24"/>
          <w:szCs w:val="24"/>
        </w:rPr>
        <w:t>Kasangye, A</w:t>
      </w:r>
      <w:r w:rsidR="00947ED5">
        <w:rPr>
          <w:sz w:val="24"/>
          <w:szCs w:val="24"/>
        </w:rPr>
        <w:t>.</w:t>
      </w:r>
      <w:r w:rsidRPr="00197FD0">
        <w:rPr>
          <w:sz w:val="24"/>
          <w:szCs w:val="24"/>
        </w:rPr>
        <w:t xml:space="preserve">, Avevor, </w:t>
      </w:r>
      <w:r w:rsidR="00786E90" w:rsidRPr="00197FD0">
        <w:rPr>
          <w:sz w:val="24"/>
          <w:szCs w:val="24"/>
        </w:rPr>
        <w:t>P</w:t>
      </w:r>
      <w:r w:rsidR="00947ED5">
        <w:rPr>
          <w:sz w:val="24"/>
          <w:szCs w:val="24"/>
        </w:rPr>
        <w:t>.</w:t>
      </w:r>
      <w:r w:rsidRPr="00197FD0">
        <w:rPr>
          <w:sz w:val="24"/>
          <w:szCs w:val="24"/>
        </w:rPr>
        <w:t xml:space="preserve">, </w:t>
      </w:r>
      <w:r w:rsidR="00786E90" w:rsidRPr="00197FD0">
        <w:rPr>
          <w:sz w:val="24"/>
          <w:szCs w:val="24"/>
        </w:rPr>
        <w:t xml:space="preserve">Yu </w:t>
      </w:r>
      <w:r w:rsidRPr="00197FD0">
        <w:rPr>
          <w:sz w:val="24"/>
          <w:szCs w:val="24"/>
        </w:rPr>
        <w:t>Y</w:t>
      </w:r>
      <w:r w:rsidR="00947ED5">
        <w:rPr>
          <w:sz w:val="24"/>
          <w:szCs w:val="24"/>
        </w:rPr>
        <w:t>.</w:t>
      </w:r>
      <w:r w:rsidRPr="00197FD0">
        <w:rPr>
          <w:sz w:val="24"/>
          <w:szCs w:val="24"/>
        </w:rPr>
        <w:t xml:space="preserve">, </w:t>
      </w:r>
      <w:r w:rsidR="00786E90" w:rsidRPr="00197FD0">
        <w:rPr>
          <w:sz w:val="24"/>
          <w:szCs w:val="24"/>
        </w:rPr>
        <w:t xml:space="preserve">Xiao </w:t>
      </w:r>
      <w:r w:rsidRPr="00197FD0">
        <w:rPr>
          <w:sz w:val="24"/>
          <w:szCs w:val="24"/>
        </w:rPr>
        <w:t>S. Sexual Violence at the Eastern Region of the Democratic Republic of Congo and Its Public Health Implications</w:t>
      </w:r>
      <w:r w:rsidR="00786E90">
        <w:rPr>
          <w:sz w:val="24"/>
          <w:szCs w:val="24"/>
        </w:rPr>
        <w:t>.</w:t>
      </w:r>
      <w:r w:rsidR="00786E90" w:rsidRPr="00197FD0">
        <w:rPr>
          <w:sz w:val="24"/>
          <w:szCs w:val="24"/>
        </w:rPr>
        <w:t xml:space="preserve"> </w:t>
      </w:r>
      <w:r w:rsidRPr="00C8442E">
        <w:rPr>
          <w:i/>
          <w:sz w:val="24"/>
          <w:szCs w:val="24"/>
        </w:rPr>
        <w:t>Health Sciences</w:t>
      </w:r>
      <w:r w:rsidR="00786E90">
        <w:rPr>
          <w:sz w:val="24"/>
          <w:szCs w:val="24"/>
        </w:rPr>
        <w:t xml:space="preserve"> </w:t>
      </w:r>
      <w:r w:rsidR="00786E90" w:rsidRPr="00197FD0">
        <w:rPr>
          <w:sz w:val="24"/>
          <w:szCs w:val="24"/>
        </w:rPr>
        <w:t>2014</w:t>
      </w:r>
      <w:r w:rsidR="00786E90">
        <w:rPr>
          <w:sz w:val="24"/>
          <w:szCs w:val="24"/>
        </w:rPr>
        <w:t>;</w:t>
      </w:r>
      <w:r w:rsidRPr="00197FD0">
        <w:rPr>
          <w:sz w:val="24"/>
          <w:szCs w:val="24"/>
        </w:rPr>
        <w:t xml:space="preserve"> 3(1): 1– 11.</w:t>
      </w:r>
    </w:p>
    <w:p w14:paraId="2C9D9DE1" w14:textId="69CB4660" w:rsidR="00332180" w:rsidRPr="00197FD0" w:rsidRDefault="00332180" w:rsidP="00332180">
      <w:pPr>
        <w:pStyle w:val="References"/>
        <w:rPr>
          <w:sz w:val="24"/>
          <w:szCs w:val="24"/>
        </w:rPr>
      </w:pPr>
      <w:r w:rsidRPr="00197FD0">
        <w:rPr>
          <w:sz w:val="24"/>
          <w:szCs w:val="24"/>
        </w:rPr>
        <w:t xml:space="preserve">Kelly, </w:t>
      </w:r>
      <w:r w:rsidR="00786E90" w:rsidRPr="00197FD0">
        <w:rPr>
          <w:sz w:val="24"/>
          <w:szCs w:val="24"/>
        </w:rPr>
        <w:t>J</w:t>
      </w:r>
      <w:r w:rsidR="00786E90">
        <w:rPr>
          <w:sz w:val="24"/>
          <w:szCs w:val="24"/>
        </w:rPr>
        <w:t>.</w:t>
      </w:r>
      <w:r w:rsidRPr="00197FD0">
        <w:rPr>
          <w:sz w:val="24"/>
          <w:szCs w:val="24"/>
        </w:rPr>
        <w:t>; TS Betancourt, D</w:t>
      </w:r>
      <w:r w:rsidR="00947ED5">
        <w:rPr>
          <w:sz w:val="24"/>
          <w:szCs w:val="24"/>
        </w:rPr>
        <w:t>.</w:t>
      </w:r>
      <w:r w:rsidRPr="00197FD0">
        <w:rPr>
          <w:sz w:val="24"/>
          <w:szCs w:val="24"/>
        </w:rPr>
        <w:t xml:space="preserve"> Mukwege, T</w:t>
      </w:r>
      <w:r w:rsidR="00947ED5">
        <w:rPr>
          <w:sz w:val="24"/>
          <w:szCs w:val="24"/>
        </w:rPr>
        <w:t>.</w:t>
      </w:r>
      <w:r w:rsidRPr="00197FD0">
        <w:rPr>
          <w:sz w:val="24"/>
          <w:szCs w:val="24"/>
        </w:rPr>
        <w:t xml:space="preserve"> Lipton &amp; M</w:t>
      </w:r>
      <w:r w:rsidR="00947ED5">
        <w:rPr>
          <w:sz w:val="24"/>
          <w:szCs w:val="24"/>
        </w:rPr>
        <w:t>.</w:t>
      </w:r>
      <w:r w:rsidRPr="00197FD0">
        <w:rPr>
          <w:sz w:val="24"/>
          <w:szCs w:val="24"/>
        </w:rPr>
        <w:t>J</w:t>
      </w:r>
      <w:r w:rsidR="00947ED5">
        <w:rPr>
          <w:sz w:val="24"/>
          <w:szCs w:val="24"/>
        </w:rPr>
        <w:t>.</w:t>
      </w:r>
      <w:r w:rsidRPr="00197FD0">
        <w:rPr>
          <w:sz w:val="24"/>
          <w:szCs w:val="24"/>
        </w:rPr>
        <w:t xml:space="preserve"> VanRooyen (2011) Experiences of female survivors of sexual violence in eastern Democratic Republic of the Congo: a mixed methods study</w:t>
      </w:r>
      <w:r w:rsidRPr="00786E90">
        <w:rPr>
          <w:sz w:val="24"/>
          <w:szCs w:val="24"/>
        </w:rPr>
        <w:t xml:space="preserve">. </w:t>
      </w:r>
      <w:r w:rsidRPr="00C8442E">
        <w:rPr>
          <w:i/>
          <w:sz w:val="24"/>
          <w:szCs w:val="24"/>
        </w:rPr>
        <w:t>Conflict and Health</w:t>
      </w:r>
      <w:r w:rsidRPr="00197FD0">
        <w:rPr>
          <w:i/>
          <w:sz w:val="24"/>
          <w:szCs w:val="24"/>
        </w:rPr>
        <w:t xml:space="preserve"> </w:t>
      </w:r>
      <w:r w:rsidRPr="00197FD0">
        <w:rPr>
          <w:sz w:val="24"/>
          <w:szCs w:val="24"/>
        </w:rPr>
        <w:t>2011 5:25.</w:t>
      </w:r>
    </w:p>
    <w:p w14:paraId="35BE908A" w14:textId="786CF944" w:rsidR="00332180" w:rsidRPr="00197FD0" w:rsidRDefault="00332180" w:rsidP="00332180">
      <w:pPr>
        <w:pStyle w:val="References"/>
        <w:rPr>
          <w:sz w:val="24"/>
          <w:szCs w:val="24"/>
        </w:rPr>
      </w:pPr>
      <w:r w:rsidRPr="00197FD0">
        <w:rPr>
          <w:sz w:val="24"/>
          <w:szCs w:val="24"/>
        </w:rPr>
        <w:t>Kelly, J</w:t>
      </w:r>
      <w:r w:rsidR="00947ED5">
        <w:rPr>
          <w:sz w:val="24"/>
          <w:szCs w:val="24"/>
        </w:rPr>
        <w:t>.</w:t>
      </w:r>
      <w:r w:rsidRPr="00197FD0">
        <w:rPr>
          <w:sz w:val="24"/>
          <w:szCs w:val="24"/>
        </w:rPr>
        <w:t>; M</w:t>
      </w:r>
      <w:r w:rsidR="00947ED5">
        <w:rPr>
          <w:sz w:val="24"/>
          <w:szCs w:val="24"/>
        </w:rPr>
        <w:t>.</w:t>
      </w:r>
      <w:r w:rsidRPr="00197FD0">
        <w:rPr>
          <w:sz w:val="24"/>
          <w:szCs w:val="24"/>
        </w:rPr>
        <w:t xml:space="preserve"> VanRooyen; J Leaning &amp; W Cragin (2009) </w:t>
      </w:r>
      <w:r w:rsidRPr="00C8442E">
        <w:rPr>
          <w:i/>
          <w:sz w:val="24"/>
          <w:szCs w:val="24"/>
        </w:rPr>
        <w:t>Characterizing Sexual Violence in the Democratic Republic of the Congo</w:t>
      </w:r>
      <w:r w:rsidRPr="00197FD0">
        <w:rPr>
          <w:sz w:val="24"/>
          <w:szCs w:val="24"/>
        </w:rPr>
        <w:t xml:space="preserve">. Harvard Humanitarian Initiative. </w:t>
      </w:r>
    </w:p>
    <w:p w14:paraId="6ABBC2C4" w14:textId="1C2BCAC5" w:rsidR="00332180" w:rsidRPr="00197FD0" w:rsidRDefault="00332180" w:rsidP="00332180">
      <w:pPr>
        <w:pStyle w:val="References"/>
        <w:rPr>
          <w:sz w:val="24"/>
          <w:szCs w:val="24"/>
        </w:rPr>
      </w:pPr>
      <w:r w:rsidRPr="00197FD0">
        <w:rPr>
          <w:sz w:val="24"/>
          <w:szCs w:val="24"/>
        </w:rPr>
        <w:t xml:space="preserve">Kohli, </w:t>
      </w:r>
      <w:r w:rsidR="00786E90" w:rsidRPr="00197FD0">
        <w:rPr>
          <w:sz w:val="24"/>
          <w:szCs w:val="24"/>
        </w:rPr>
        <w:t>A</w:t>
      </w:r>
      <w:r w:rsidR="00786E90">
        <w:rPr>
          <w:sz w:val="24"/>
          <w:szCs w:val="24"/>
        </w:rPr>
        <w:t>.</w:t>
      </w:r>
      <w:r w:rsidR="00786E90" w:rsidRPr="00197FD0">
        <w:rPr>
          <w:sz w:val="24"/>
          <w:szCs w:val="24"/>
        </w:rPr>
        <w:t xml:space="preserve"> </w:t>
      </w:r>
      <w:r w:rsidRPr="00197FD0">
        <w:rPr>
          <w:sz w:val="24"/>
          <w:szCs w:val="24"/>
        </w:rPr>
        <w:t>et al.</w:t>
      </w:r>
      <w:r w:rsidR="00786E90">
        <w:rPr>
          <w:sz w:val="24"/>
          <w:szCs w:val="24"/>
        </w:rPr>
        <w:t xml:space="preserve"> </w:t>
      </w:r>
      <w:r w:rsidRPr="00197FD0">
        <w:rPr>
          <w:sz w:val="24"/>
          <w:szCs w:val="24"/>
        </w:rPr>
        <w:t xml:space="preserve">Risk for Family Rejection and Associated Mental Health Outcomes Among Conflict-­-Affected Adult Women Living in Rural Eastern Democratic Republic of the Congo. </w:t>
      </w:r>
      <w:r w:rsidRPr="00C8442E">
        <w:rPr>
          <w:i/>
          <w:sz w:val="24"/>
          <w:szCs w:val="24"/>
        </w:rPr>
        <w:t>Health Care for Women International</w:t>
      </w:r>
      <w:r w:rsidRPr="00197FD0">
        <w:rPr>
          <w:sz w:val="24"/>
          <w:szCs w:val="24"/>
        </w:rPr>
        <w:t xml:space="preserve"> </w:t>
      </w:r>
      <w:r w:rsidR="00786E90" w:rsidRPr="00197FD0">
        <w:rPr>
          <w:sz w:val="24"/>
          <w:szCs w:val="24"/>
        </w:rPr>
        <w:t>2014</w:t>
      </w:r>
      <w:r w:rsidR="00786E90">
        <w:rPr>
          <w:sz w:val="24"/>
          <w:szCs w:val="24"/>
        </w:rPr>
        <w:t xml:space="preserve">; </w:t>
      </w:r>
      <w:r w:rsidRPr="00197FD0">
        <w:rPr>
          <w:sz w:val="24"/>
          <w:szCs w:val="24"/>
        </w:rPr>
        <w:t>35(7-­-9): 789–807.</w:t>
      </w:r>
    </w:p>
    <w:p w14:paraId="588BE28F" w14:textId="289B002A" w:rsidR="00942AED" w:rsidRDefault="00942AED" w:rsidP="00332180">
      <w:pPr>
        <w:pStyle w:val="References"/>
        <w:rPr>
          <w:sz w:val="24"/>
          <w:szCs w:val="24"/>
        </w:rPr>
      </w:pPr>
      <w:r w:rsidRPr="00942AED">
        <w:rPr>
          <w:sz w:val="24"/>
          <w:szCs w:val="24"/>
        </w:rPr>
        <w:t xml:space="preserve">Meger, S. Rape of the Congo: Understanding sexual violence in the conflict in the Democratic Republic of Congo. </w:t>
      </w:r>
      <w:r w:rsidRPr="000D475F">
        <w:rPr>
          <w:i/>
          <w:sz w:val="24"/>
          <w:szCs w:val="24"/>
        </w:rPr>
        <w:t>Journal of Contemporary African Studies</w:t>
      </w:r>
      <w:r w:rsidRPr="00942AED">
        <w:rPr>
          <w:sz w:val="24"/>
          <w:szCs w:val="24"/>
        </w:rPr>
        <w:t xml:space="preserve"> </w:t>
      </w:r>
      <w:r w:rsidR="00947ED5" w:rsidRPr="00942AED">
        <w:rPr>
          <w:sz w:val="24"/>
          <w:szCs w:val="24"/>
        </w:rPr>
        <w:t>(2010)</w:t>
      </w:r>
      <w:r w:rsidRPr="00942AED">
        <w:rPr>
          <w:sz w:val="24"/>
          <w:szCs w:val="24"/>
        </w:rPr>
        <w:t xml:space="preserve">28.2: 119-135. </w:t>
      </w:r>
    </w:p>
    <w:p w14:paraId="69B3E551" w14:textId="5D6207E0" w:rsidR="00332180" w:rsidRPr="00197FD0" w:rsidRDefault="00332180" w:rsidP="00332180">
      <w:pPr>
        <w:pStyle w:val="References"/>
        <w:rPr>
          <w:sz w:val="24"/>
          <w:szCs w:val="24"/>
        </w:rPr>
      </w:pPr>
      <w:r w:rsidRPr="00197FD0">
        <w:rPr>
          <w:sz w:val="24"/>
          <w:szCs w:val="24"/>
        </w:rPr>
        <w:t>Mukwege, D</w:t>
      </w:r>
      <w:r w:rsidR="00947ED5">
        <w:rPr>
          <w:sz w:val="24"/>
          <w:szCs w:val="24"/>
        </w:rPr>
        <w:t>.</w:t>
      </w:r>
      <w:r w:rsidRPr="00197FD0">
        <w:rPr>
          <w:sz w:val="24"/>
          <w:szCs w:val="24"/>
        </w:rPr>
        <w:t>M</w:t>
      </w:r>
      <w:r w:rsidR="00947ED5">
        <w:rPr>
          <w:sz w:val="24"/>
          <w:szCs w:val="24"/>
        </w:rPr>
        <w:t>.</w:t>
      </w:r>
      <w:r w:rsidR="00786E90">
        <w:rPr>
          <w:sz w:val="24"/>
          <w:szCs w:val="24"/>
        </w:rPr>
        <w:t xml:space="preserve">, </w:t>
      </w:r>
      <w:r w:rsidRPr="00197FD0">
        <w:rPr>
          <w:sz w:val="24"/>
          <w:szCs w:val="24"/>
        </w:rPr>
        <w:t>Nangini</w:t>
      </w:r>
      <w:r w:rsidR="00786E90" w:rsidRPr="00786E90">
        <w:rPr>
          <w:sz w:val="24"/>
          <w:szCs w:val="24"/>
        </w:rPr>
        <w:t xml:space="preserve"> </w:t>
      </w:r>
      <w:r w:rsidR="00786E90">
        <w:rPr>
          <w:sz w:val="24"/>
          <w:szCs w:val="24"/>
        </w:rPr>
        <w:t>C</w:t>
      </w:r>
      <w:r w:rsidR="00947ED5">
        <w:rPr>
          <w:sz w:val="24"/>
          <w:szCs w:val="24"/>
        </w:rPr>
        <w:t>.</w:t>
      </w:r>
      <w:r w:rsidR="00786E90">
        <w:rPr>
          <w:sz w:val="24"/>
          <w:szCs w:val="24"/>
        </w:rPr>
        <w:t xml:space="preserve"> </w:t>
      </w:r>
      <w:r w:rsidRPr="00197FD0">
        <w:rPr>
          <w:sz w:val="24"/>
          <w:szCs w:val="24"/>
        </w:rPr>
        <w:t xml:space="preserve">Rape with extreme violence: The new pathology in South Kivu, Democratic Republic of Congo. </w:t>
      </w:r>
      <w:r w:rsidRPr="00C8442E">
        <w:rPr>
          <w:i/>
          <w:sz w:val="24"/>
          <w:szCs w:val="24"/>
        </w:rPr>
        <w:t>PLOS Medicine</w:t>
      </w:r>
      <w:r w:rsidR="00786E90">
        <w:rPr>
          <w:sz w:val="24"/>
          <w:szCs w:val="24"/>
        </w:rPr>
        <w:t xml:space="preserve"> </w:t>
      </w:r>
      <w:r w:rsidR="00786E90" w:rsidRPr="00197FD0">
        <w:rPr>
          <w:sz w:val="24"/>
          <w:szCs w:val="24"/>
        </w:rPr>
        <w:t>2009</w:t>
      </w:r>
      <w:r w:rsidR="00786E90">
        <w:rPr>
          <w:sz w:val="24"/>
          <w:szCs w:val="24"/>
        </w:rPr>
        <w:t xml:space="preserve">; </w:t>
      </w:r>
      <w:r w:rsidRPr="00197FD0">
        <w:rPr>
          <w:sz w:val="24"/>
          <w:szCs w:val="24"/>
        </w:rPr>
        <w:t>6 (12): 1–5.</w:t>
      </w:r>
    </w:p>
    <w:p w14:paraId="5766BA8E" w14:textId="3724B0F9" w:rsidR="00332180" w:rsidRPr="00197FD0" w:rsidRDefault="00332180" w:rsidP="00332180">
      <w:pPr>
        <w:pStyle w:val="References"/>
        <w:rPr>
          <w:sz w:val="24"/>
          <w:szCs w:val="24"/>
        </w:rPr>
      </w:pPr>
      <w:r w:rsidRPr="00197FD0">
        <w:rPr>
          <w:sz w:val="24"/>
          <w:szCs w:val="24"/>
        </w:rPr>
        <w:lastRenderedPageBreak/>
        <w:t>Østby, G. Violence begets violence: Armed conflict and domestic sexual violence in sub-Saharan Africa. Paper presented at the UNSCR 1325 Research Working Group Meeting, London, 21–22 October.</w:t>
      </w:r>
      <w:r w:rsidR="00786E90" w:rsidRPr="00786E90">
        <w:rPr>
          <w:sz w:val="24"/>
          <w:szCs w:val="24"/>
        </w:rPr>
        <w:t xml:space="preserve"> </w:t>
      </w:r>
      <w:r w:rsidR="00786E90" w:rsidRPr="00197FD0">
        <w:rPr>
          <w:sz w:val="24"/>
          <w:szCs w:val="24"/>
        </w:rPr>
        <w:t>(2013)</w:t>
      </w:r>
    </w:p>
    <w:p w14:paraId="2752CB87" w14:textId="604FEFE2" w:rsidR="002C24D7" w:rsidRPr="002C24D7" w:rsidRDefault="002C24D7" w:rsidP="00332180">
      <w:pPr>
        <w:pStyle w:val="References"/>
        <w:rPr>
          <w:sz w:val="24"/>
          <w:szCs w:val="24"/>
        </w:rPr>
      </w:pPr>
      <w:r>
        <w:rPr>
          <w:sz w:val="24"/>
          <w:szCs w:val="24"/>
        </w:rPr>
        <w:t xml:space="preserve">Percy-Smith, J. ed. </w:t>
      </w:r>
      <w:r w:rsidRPr="00C8442E">
        <w:rPr>
          <w:i/>
          <w:sz w:val="24"/>
          <w:szCs w:val="24"/>
        </w:rPr>
        <w:t>Policy responses to social exclusion</w:t>
      </w:r>
      <w:r>
        <w:rPr>
          <w:i/>
          <w:sz w:val="24"/>
          <w:szCs w:val="24"/>
        </w:rPr>
        <w:t>:</w:t>
      </w:r>
      <w:r w:rsidRPr="002C24D7">
        <w:rPr>
          <w:i/>
          <w:sz w:val="24"/>
          <w:szCs w:val="24"/>
        </w:rPr>
        <w:t xml:space="preserve"> T</w:t>
      </w:r>
      <w:r w:rsidRPr="00C8442E">
        <w:rPr>
          <w:i/>
          <w:sz w:val="24"/>
          <w:szCs w:val="24"/>
        </w:rPr>
        <w:t>owards inclusion?</w:t>
      </w:r>
      <w:r>
        <w:rPr>
          <w:sz w:val="24"/>
          <w:szCs w:val="24"/>
        </w:rPr>
        <w:t xml:space="preserve"> (2000) </w:t>
      </w:r>
      <w:r w:rsidRPr="002C24D7">
        <w:rPr>
          <w:sz w:val="24"/>
          <w:szCs w:val="24"/>
        </w:rPr>
        <w:t>Philadelphia, PA</w:t>
      </w:r>
      <w:r>
        <w:rPr>
          <w:sz w:val="24"/>
          <w:szCs w:val="24"/>
        </w:rPr>
        <w:t xml:space="preserve">: Open University Press. </w:t>
      </w:r>
    </w:p>
    <w:p w14:paraId="739C8539" w14:textId="28AABBA4" w:rsidR="00942AED" w:rsidRDefault="00942AED" w:rsidP="00332180">
      <w:pPr>
        <w:pStyle w:val="References"/>
        <w:rPr>
          <w:sz w:val="24"/>
          <w:szCs w:val="24"/>
        </w:rPr>
      </w:pPr>
      <w:r w:rsidRPr="00942AED">
        <w:rPr>
          <w:sz w:val="24"/>
          <w:szCs w:val="24"/>
        </w:rPr>
        <w:t>Peterman, A</w:t>
      </w:r>
      <w:r w:rsidR="00947ED5">
        <w:rPr>
          <w:sz w:val="24"/>
          <w:szCs w:val="24"/>
        </w:rPr>
        <w:t>.</w:t>
      </w:r>
      <w:r w:rsidRPr="00942AED">
        <w:rPr>
          <w:sz w:val="24"/>
          <w:szCs w:val="24"/>
        </w:rPr>
        <w:t xml:space="preserve">, </w:t>
      </w:r>
      <w:r w:rsidR="00947ED5">
        <w:rPr>
          <w:sz w:val="24"/>
          <w:szCs w:val="24"/>
        </w:rPr>
        <w:t>&amp;</w:t>
      </w:r>
      <w:r w:rsidRPr="00942AED">
        <w:rPr>
          <w:sz w:val="24"/>
          <w:szCs w:val="24"/>
        </w:rPr>
        <w:t xml:space="preserve"> Johnson</w:t>
      </w:r>
      <w:r w:rsidR="00947ED5">
        <w:rPr>
          <w:sz w:val="24"/>
          <w:szCs w:val="24"/>
        </w:rPr>
        <w:t xml:space="preserve">, K. </w:t>
      </w:r>
      <w:r w:rsidRPr="00942AED">
        <w:rPr>
          <w:sz w:val="24"/>
          <w:szCs w:val="24"/>
        </w:rPr>
        <w:t xml:space="preserve">Incontinence and trauma: sexual violence, female genital cutting and proxy measures of gynecological fistula. </w:t>
      </w:r>
      <w:r w:rsidRPr="000D475F">
        <w:rPr>
          <w:i/>
          <w:sz w:val="24"/>
          <w:szCs w:val="24"/>
        </w:rPr>
        <w:t>Social science &amp; medicine</w:t>
      </w:r>
      <w:r w:rsidRPr="00942AED">
        <w:rPr>
          <w:sz w:val="24"/>
          <w:szCs w:val="24"/>
        </w:rPr>
        <w:t xml:space="preserve"> 68.5 (2009): 971-979. </w:t>
      </w:r>
    </w:p>
    <w:p w14:paraId="762A9297" w14:textId="63A74E92" w:rsidR="00332180" w:rsidRPr="00197FD0" w:rsidRDefault="00332180" w:rsidP="00332180">
      <w:pPr>
        <w:pStyle w:val="References"/>
        <w:rPr>
          <w:sz w:val="24"/>
          <w:szCs w:val="24"/>
        </w:rPr>
      </w:pPr>
      <w:r w:rsidRPr="00197FD0">
        <w:rPr>
          <w:sz w:val="24"/>
          <w:szCs w:val="24"/>
        </w:rPr>
        <w:t>Peterman, A</w:t>
      </w:r>
      <w:r w:rsidR="00947ED5">
        <w:rPr>
          <w:sz w:val="24"/>
          <w:szCs w:val="24"/>
        </w:rPr>
        <w:t>.</w:t>
      </w:r>
      <w:r w:rsidRPr="00197FD0">
        <w:rPr>
          <w:sz w:val="24"/>
          <w:szCs w:val="24"/>
        </w:rPr>
        <w:t>; T</w:t>
      </w:r>
      <w:r w:rsidR="00947ED5">
        <w:rPr>
          <w:sz w:val="24"/>
          <w:szCs w:val="24"/>
        </w:rPr>
        <w:t>.</w:t>
      </w:r>
      <w:r w:rsidRPr="00197FD0">
        <w:rPr>
          <w:sz w:val="24"/>
          <w:szCs w:val="24"/>
        </w:rPr>
        <w:t xml:space="preserve"> Palermo &amp; C</w:t>
      </w:r>
      <w:r w:rsidR="00947ED5">
        <w:rPr>
          <w:sz w:val="24"/>
          <w:szCs w:val="24"/>
        </w:rPr>
        <w:t>.</w:t>
      </w:r>
      <w:r w:rsidRPr="00197FD0">
        <w:rPr>
          <w:sz w:val="24"/>
          <w:szCs w:val="24"/>
        </w:rPr>
        <w:t xml:space="preserve"> Bredenkamp (2011) Estimates and determinants of sexual violence against women in the Democratic Republic of Congo. </w:t>
      </w:r>
      <w:r w:rsidRPr="00197FD0">
        <w:rPr>
          <w:i/>
          <w:sz w:val="24"/>
          <w:szCs w:val="24"/>
        </w:rPr>
        <w:t>American Journal of Public Health</w:t>
      </w:r>
      <w:r w:rsidRPr="00197FD0">
        <w:rPr>
          <w:sz w:val="24"/>
          <w:szCs w:val="24"/>
        </w:rPr>
        <w:t xml:space="preserve"> 101 (6): 1060-67.</w:t>
      </w:r>
    </w:p>
    <w:p w14:paraId="5A46A73C" w14:textId="3939D46D" w:rsidR="00332180" w:rsidRPr="00197FD0" w:rsidRDefault="00332180" w:rsidP="00332180">
      <w:pPr>
        <w:pStyle w:val="References"/>
        <w:rPr>
          <w:sz w:val="24"/>
          <w:szCs w:val="24"/>
        </w:rPr>
      </w:pPr>
      <w:r w:rsidRPr="00197FD0">
        <w:rPr>
          <w:sz w:val="24"/>
          <w:szCs w:val="24"/>
        </w:rPr>
        <w:t xml:space="preserve">Roka, </w:t>
      </w:r>
      <w:r w:rsidR="00786E90" w:rsidRPr="00197FD0">
        <w:rPr>
          <w:sz w:val="24"/>
          <w:szCs w:val="24"/>
        </w:rPr>
        <w:t>J</w:t>
      </w:r>
      <w:r w:rsidR="00786E90">
        <w:rPr>
          <w:sz w:val="24"/>
          <w:szCs w:val="24"/>
        </w:rPr>
        <w:t>.</w:t>
      </w:r>
      <w:r w:rsidR="00786E90" w:rsidRPr="00197FD0">
        <w:rPr>
          <w:sz w:val="24"/>
          <w:szCs w:val="24"/>
        </w:rPr>
        <w:t xml:space="preserve"> L</w:t>
      </w:r>
      <w:r w:rsidR="00786E90">
        <w:rPr>
          <w:sz w:val="24"/>
          <w:szCs w:val="24"/>
        </w:rPr>
        <w:t>.</w:t>
      </w:r>
      <w:r w:rsidR="00786E90" w:rsidRPr="00197FD0">
        <w:rPr>
          <w:sz w:val="24"/>
          <w:szCs w:val="24"/>
        </w:rPr>
        <w:t xml:space="preserve"> </w:t>
      </w:r>
      <w:r w:rsidRPr="00197FD0">
        <w:rPr>
          <w:sz w:val="24"/>
          <w:szCs w:val="24"/>
        </w:rPr>
        <w:t xml:space="preserve">et al </w:t>
      </w:r>
      <w:r w:rsidRPr="00197FD0">
        <w:rPr>
          <w:i/>
          <w:sz w:val="24"/>
          <w:szCs w:val="24"/>
        </w:rPr>
        <w:t>One Size Fits All? Standardised Provision of Care for Survivors of Sexual Violence in Conflict and Post-Conflict Areas in the Democratic Republic of Congo</w:t>
      </w:r>
      <w:r w:rsidRPr="00197FD0">
        <w:rPr>
          <w:sz w:val="24"/>
          <w:szCs w:val="24"/>
        </w:rPr>
        <w:t xml:space="preserve">. PLOS one: </w:t>
      </w:r>
      <w:hyperlink r:id="rId12" w:history="1">
        <w:r w:rsidR="00786E90" w:rsidRPr="00694DB9">
          <w:rPr>
            <w:rStyle w:val="Hyperlink"/>
            <w:sz w:val="24"/>
            <w:szCs w:val="24"/>
          </w:rPr>
          <w:t>http://www.plosone.org/article/fetchObject.action?uri=info:doi/10.1371/journal.pone.0111096&amp;representation=PDF</w:t>
        </w:r>
      </w:hyperlink>
      <w:r w:rsidRPr="00197FD0">
        <w:rPr>
          <w:sz w:val="24"/>
          <w:szCs w:val="24"/>
        </w:rPr>
        <w:t>.</w:t>
      </w:r>
      <w:r w:rsidR="00786E90">
        <w:rPr>
          <w:sz w:val="24"/>
          <w:szCs w:val="24"/>
        </w:rPr>
        <w:t xml:space="preserve"> </w:t>
      </w:r>
      <w:r w:rsidR="00786E90" w:rsidRPr="00197FD0">
        <w:rPr>
          <w:sz w:val="24"/>
          <w:szCs w:val="24"/>
        </w:rPr>
        <w:t>(2014)</w:t>
      </w:r>
    </w:p>
    <w:p w14:paraId="63C45953" w14:textId="473C1BFE" w:rsidR="00786E90" w:rsidRPr="00926B34" w:rsidRDefault="00786E90" w:rsidP="00332180">
      <w:pPr>
        <w:pStyle w:val="References"/>
        <w:rPr>
          <w:sz w:val="24"/>
          <w:szCs w:val="24"/>
        </w:rPr>
      </w:pPr>
      <w:r w:rsidRPr="00926B34">
        <w:rPr>
          <w:sz w:val="24"/>
          <w:szCs w:val="24"/>
        </w:rPr>
        <w:t>Rustad, S.A., Østby, G.</w:t>
      </w:r>
      <w:r w:rsidRPr="00786E90">
        <w:rPr>
          <w:sz w:val="24"/>
          <w:szCs w:val="24"/>
        </w:rPr>
        <w:t>,</w:t>
      </w:r>
      <w:r w:rsidRPr="00926B34">
        <w:rPr>
          <w:sz w:val="24"/>
          <w:szCs w:val="24"/>
        </w:rPr>
        <w:t xml:space="preserve"> Nordås, R. Artisanal mining, conflict, and sexual violence in Eastern DRC. </w:t>
      </w:r>
      <w:r w:rsidRPr="00926B34">
        <w:rPr>
          <w:i/>
          <w:sz w:val="24"/>
          <w:szCs w:val="24"/>
        </w:rPr>
        <w:t>The Extractive Industries and Society</w:t>
      </w:r>
      <w:r w:rsidRPr="00926B34">
        <w:rPr>
          <w:sz w:val="24"/>
          <w:szCs w:val="24"/>
        </w:rPr>
        <w:t xml:space="preserve"> 2016;</w:t>
      </w:r>
      <w:r w:rsidR="001F0CEE">
        <w:rPr>
          <w:sz w:val="24"/>
          <w:szCs w:val="24"/>
        </w:rPr>
        <w:t xml:space="preserve"> (3): 475-484. </w:t>
      </w:r>
    </w:p>
    <w:p w14:paraId="56C4D63A" w14:textId="680AC879" w:rsidR="00332180" w:rsidRPr="00197FD0" w:rsidRDefault="00332180" w:rsidP="00332180">
      <w:pPr>
        <w:pStyle w:val="References"/>
        <w:rPr>
          <w:sz w:val="24"/>
          <w:szCs w:val="24"/>
        </w:rPr>
      </w:pPr>
      <w:r w:rsidRPr="004560CA">
        <w:rPr>
          <w:sz w:val="24"/>
          <w:szCs w:val="24"/>
          <w:lang w:val="nb-NO"/>
        </w:rPr>
        <w:t>Steiner, B</w:t>
      </w:r>
      <w:r w:rsidR="00947ED5" w:rsidRPr="004560CA">
        <w:rPr>
          <w:sz w:val="24"/>
          <w:szCs w:val="24"/>
          <w:lang w:val="nb-NO"/>
        </w:rPr>
        <w:t>.</w:t>
      </w:r>
      <w:r w:rsidRPr="004560CA">
        <w:rPr>
          <w:sz w:val="24"/>
          <w:szCs w:val="24"/>
          <w:lang w:val="nb-NO"/>
        </w:rPr>
        <w:t>; M</w:t>
      </w:r>
      <w:r w:rsidR="00947ED5" w:rsidRPr="004560CA">
        <w:rPr>
          <w:sz w:val="24"/>
          <w:szCs w:val="24"/>
          <w:lang w:val="nb-NO"/>
        </w:rPr>
        <w:t>.</w:t>
      </w:r>
      <w:r w:rsidRPr="004560CA">
        <w:rPr>
          <w:sz w:val="24"/>
          <w:szCs w:val="24"/>
          <w:lang w:val="nb-NO"/>
        </w:rPr>
        <w:t>T</w:t>
      </w:r>
      <w:r w:rsidR="00947ED5" w:rsidRPr="004560CA">
        <w:rPr>
          <w:sz w:val="24"/>
          <w:szCs w:val="24"/>
          <w:lang w:val="nb-NO"/>
        </w:rPr>
        <w:t>.</w:t>
      </w:r>
      <w:r w:rsidRPr="004560CA">
        <w:rPr>
          <w:sz w:val="24"/>
          <w:szCs w:val="24"/>
          <w:lang w:val="nb-NO"/>
        </w:rPr>
        <w:t xml:space="preserve"> Benner, E. Sondorp, K. P. Schmitz, U. Mesmer, &amp; S</w:t>
      </w:r>
      <w:r w:rsidR="00947ED5" w:rsidRPr="004560CA">
        <w:rPr>
          <w:sz w:val="24"/>
          <w:szCs w:val="24"/>
          <w:lang w:val="nb-NO"/>
        </w:rPr>
        <w:t>.</w:t>
      </w:r>
      <w:r w:rsidRPr="004560CA">
        <w:rPr>
          <w:sz w:val="24"/>
          <w:szCs w:val="24"/>
          <w:lang w:val="nb-NO"/>
        </w:rPr>
        <w:t xml:space="preserve"> Rosenberger</w:t>
      </w:r>
      <w:r w:rsidR="00786E90" w:rsidRPr="004560CA">
        <w:rPr>
          <w:sz w:val="24"/>
          <w:szCs w:val="24"/>
          <w:lang w:val="nb-NO"/>
        </w:rPr>
        <w:t>.</w:t>
      </w:r>
      <w:r w:rsidRPr="004560CA">
        <w:rPr>
          <w:sz w:val="24"/>
          <w:szCs w:val="24"/>
          <w:lang w:val="nb-NO"/>
        </w:rPr>
        <w:t xml:space="preserve"> </w:t>
      </w:r>
      <w:r w:rsidRPr="00197FD0">
        <w:rPr>
          <w:sz w:val="24"/>
          <w:szCs w:val="24"/>
        </w:rPr>
        <w:t xml:space="preserve">Sexual violence in the protracted conflict of DRC programming for rape survivors in South Kivu. </w:t>
      </w:r>
      <w:r w:rsidRPr="00C8442E">
        <w:rPr>
          <w:i/>
          <w:sz w:val="24"/>
          <w:szCs w:val="24"/>
        </w:rPr>
        <w:t>Conflict and Health</w:t>
      </w:r>
      <w:r w:rsidR="00947ED5">
        <w:rPr>
          <w:sz w:val="24"/>
          <w:szCs w:val="24"/>
        </w:rPr>
        <w:t xml:space="preserve"> </w:t>
      </w:r>
      <w:r w:rsidR="00786E90" w:rsidRPr="00197FD0">
        <w:rPr>
          <w:sz w:val="24"/>
          <w:szCs w:val="24"/>
        </w:rPr>
        <w:t>2009</w:t>
      </w:r>
      <w:r w:rsidR="00786E90">
        <w:rPr>
          <w:sz w:val="24"/>
          <w:szCs w:val="24"/>
        </w:rPr>
        <w:t xml:space="preserve">; </w:t>
      </w:r>
      <w:r w:rsidRPr="00197FD0">
        <w:rPr>
          <w:sz w:val="24"/>
          <w:szCs w:val="24"/>
        </w:rPr>
        <w:t>3(3): 1–9.</w:t>
      </w:r>
    </w:p>
    <w:p w14:paraId="071B267C" w14:textId="6EFB41B1" w:rsidR="00643D5F" w:rsidRDefault="00643D5F" w:rsidP="00332180">
      <w:pPr>
        <w:pStyle w:val="References"/>
        <w:rPr>
          <w:sz w:val="24"/>
          <w:szCs w:val="24"/>
        </w:rPr>
      </w:pPr>
      <w:r w:rsidRPr="00643D5F">
        <w:rPr>
          <w:sz w:val="24"/>
          <w:szCs w:val="24"/>
        </w:rPr>
        <w:t xml:space="preserve">Tol, W.A., Stavrou, V., Greene, M.C., Mergenthaler, C., Van Ommeren, M. and Moreno, C.G.,. Sexual and gender-based violence in areas of armed conflict: a systematic review of mental health and psychosocial support interventions. </w:t>
      </w:r>
      <w:r w:rsidRPr="00C8442E">
        <w:rPr>
          <w:i/>
          <w:sz w:val="24"/>
          <w:szCs w:val="24"/>
        </w:rPr>
        <w:t xml:space="preserve">Conflict and </w:t>
      </w:r>
      <w:r w:rsidR="00161D05">
        <w:rPr>
          <w:i/>
          <w:sz w:val="24"/>
          <w:szCs w:val="24"/>
        </w:rPr>
        <w:t>H</w:t>
      </w:r>
      <w:r w:rsidRPr="00C8442E">
        <w:rPr>
          <w:i/>
          <w:sz w:val="24"/>
          <w:szCs w:val="24"/>
        </w:rPr>
        <w:t>ealth</w:t>
      </w:r>
      <w:r w:rsidR="00786E90">
        <w:rPr>
          <w:sz w:val="24"/>
          <w:szCs w:val="24"/>
        </w:rPr>
        <w:t xml:space="preserve"> </w:t>
      </w:r>
      <w:r w:rsidR="00786E90" w:rsidRPr="00643D5F">
        <w:rPr>
          <w:sz w:val="24"/>
          <w:szCs w:val="24"/>
        </w:rPr>
        <w:t>2013</w:t>
      </w:r>
      <w:r w:rsidR="00786E90">
        <w:rPr>
          <w:sz w:val="24"/>
          <w:szCs w:val="24"/>
        </w:rPr>
        <w:t xml:space="preserve">; </w:t>
      </w:r>
      <w:r w:rsidRPr="00643D5F">
        <w:rPr>
          <w:sz w:val="24"/>
          <w:szCs w:val="24"/>
        </w:rPr>
        <w:t>7(1), p.1.</w:t>
      </w:r>
    </w:p>
    <w:p w14:paraId="1E908090" w14:textId="72BDA162" w:rsidR="00A9774A" w:rsidRPr="00552044" w:rsidRDefault="00A9774A" w:rsidP="00C8442E">
      <w:pPr>
        <w:spacing w:line="240" w:lineRule="auto"/>
        <w:ind w:firstLine="0"/>
        <w:jc w:val="left"/>
        <w:rPr>
          <w:b/>
          <w:bCs/>
          <w:kern w:val="28"/>
          <w:sz w:val="32"/>
          <w:lang w:val="en-GB"/>
        </w:rPr>
      </w:pPr>
    </w:p>
    <w:sectPr w:rsidR="00A9774A" w:rsidRPr="00552044" w:rsidSect="005B0E8D">
      <w:footerReference w:type="even" r:id="rId13"/>
      <w:footerReference w:type="default" r:id="rId14"/>
      <w:endnotePr>
        <w:numFmt w:val="decimal"/>
      </w:endnotePr>
      <w:type w:val="continuous"/>
      <w:pgSz w:w="11907" w:h="16840" w:code="9"/>
      <w:pgMar w:top="1418" w:right="1418" w:bottom="1418" w:left="1418" w:header="708" w:footer="708" w:gutter="113"/>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EBBE7" w14:textId="77777777" w:rsidR="00BB57D2" w:rsidRDefault="00BB57D2">
      <w:r>
        <w:separator/>
      </w:r>
    </w:p>
  </w:endnote>
  <w:endnote w:type="continuationSeparator" w:id="0">
    <w:p w14:paraId="60AA2A2F" w14:textId="77777777" w:rsidR="00BB57D2" w:rsidRDefault="00B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0" w:usb1="C0007841" w:usb2="00000009" w:usb3="00000000" w:csb0="000001FF" w:csb1="00000000"/>
  </w:font>
  <w:font w:name="AdvTimes">
    <w:altName w:val="Malgun Gothic"/>
    <w:panose1 w:val="00000000000000000000"/>
    <w:charset w:val="81"/>
    <w:family w:val="auto"/>
    <w:notTrueType/>
    <w:pitch w:val="default"/>
    <w:sig w:usb0="00000000" w:usb1="09060000" w:usb2="00000010" w:usb3="00000000" w:csb0="00080000" w:csb1="00000000"/>
  </w:font>
  <w:font w:name="GillSans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36146"/>
      <w:docPartObj>
        <w:docPartGallery w:val="Page Numbers (Bottom of Page)"/>
        <w:docPartUnique/>
      </w:docPartObj>
    </w:sdtPr>
    <w:sdtEndPr/>
    <w:sdtContent>
      <w:p w14:paraId="33FCAFD5" w14:textId="77777777" w:rsidR="000F7BD4" w:rsidRDefault="000F7BD4">
        <w:pPr>
          <w:pStyle w:val="Footer"/>
          <w:jc w:val="center"/>
        </w:pPr>
        <w:r>
          <w:fldChar w:fldCharType="begin"/>
        </w:r>
        <w:r>
          <w:instrText>PAGE   \* MERGEFORMAT</w:instrText>
        </w:r>
        <w:r>
          <w:fldChar w:fldCharType="separate"/>
        </w:r>
        <w:r>
          <w:rPr>
            <w:noProof/>
          </w:rPr>
          <w:t>6</w:t>
        </w:r>
        <w:r>
          <w:fldChar w:fldCharType="end"/>
        </w:r>
      </w:p>
    </w:sdtContent>
  </w:sdt>
  <w:p w14:paraId="7FF25819" w14:textId="77777777" w:rsidR="000F7BD4" w:rsidRDefault="000F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11204"/>
      <w:docPartObj>
        <w:docPartGallery w:val="Page Numbers (Bottom of Page)"/>
        <w:docPartUnique/>
      </w:docPartObj>
    </w:sdtPr>
    <w:sdtEndPr/>
    <w:sdtContent>
      <w:p w14:paraId="73B69986" w14:textId="05A918CA" w:rsidR="000F7BD4" w:rsidRDefault="000F7BD4">
        <w:pPr>
          <w:pStyle w:val="Footer"/>
          <w:jc w:val="center"/>
        </w:pPr>
        <w:r>
          <w:fldChar w:fldCharType="begin"/>
        </w:r>
        <w:r>
          <w:instrText>PAGE   \* MERGEFORMAT</w:instrText>
        </w:r>
        <w:r>
          <w:fldChar w:fldCharType="separate"/>
        </w:r>
        <w:r w:rsidR="000E06F0">
          <w:rPr>
            <w:noProof/>
          </w:rPr>
          <w:t>1</w:t>
        </w:r>
        <w:r>
          <w:fldChar w:fldCharType="end"/>
        </w:r>
      </w:p>
    </w:sdtContent>
  </w:sdt>
  <w:p w14:paraId="3F2C9354" w14:textId="77777777" w:rsidR="000F7BD4" w:rsidRDefault="000F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8E49" w14:textId="77777777" w:rsidR="00BB57D2" w:rsidRDefault="00BB57D2">
      <w:r>
        <w:separator/>
      </w:r>
    </w:p>
  </w:footnote>
  <w:footnote w:type="continuationSeparator" w:id="0">
    <w:p w14:paraId="7281149C" w14:textId="77777777" w:rsidR="00BB57D2" w:rsidRDefault="00BB57D2">
      <w:r>
        <w:continuationSeparator/>
      </w:r>
    </w:p>
  </w:footnote>
  <w:footnote w:id="1">
    <w:p w14:paraId="68A2914E" w14:textId="07774D5D" w:rsidR="000F7BD4" w:rsidRPr="0000283D" w:rsidRDefault="000F7BD4">
      <w:pPr>
        <w:pStyle w:val="FootnoteText"/>
        <w:rPr>
          <w:lang w:val="en-US"/>
        </w:rPr>
      </w:pPr>
      <w:r>
        <w:rPr>
          <w:rStyle w:val="FootnoteReference"/>
        </w:rPr>
        <w:footnoteRef/>
      </w:r>
      <w:r w:rsidRPr="0000283D">
        <w:rPr>
          <w:lang w:val="en-US"/>
        </w:rPr>
        <w:t xml:space="preserve"> Note: Authors in alphabetical order. Corresponding author: </w:t>
      </w:r>
      <w:hyperlink r:id="rId1" w:history="1">
        <w:r w:rsidRPr="00634C2C">
          <w:rPr>
            <w:rStyle w:val="Hyperlink"/>
            <w:lang w:val="en-US"/>
          </w:rPr>
          <w:t>Gudrun@prio.no</w:t>
        </w:r>
      </w:hyperlink>
      <w:r>
        <w:rPr>
          <w:lang w:val="en-US"/>
        </w:rPr>
        <w:t xml:space="preserve">. The research has been funded by the Research Council of Norway. </w:t>
      </w:r>
    </w:p>
  </w:footnote>
  <w:footnote w:id="2">
    <w:p w14:paraId="1FCF599C" w14:textId="36BA2B45" w:rsidR="000F7BD4" w:rsidRPr="001E266F" w:rsidRDefault="000F7BD4" w:rsidP="00253C6C">
      <w:pPr>
        <w:pStyle w:val="FootnoteText"/>
        <w:rPr>
          <w:lang w:val="en-US"/>
        </w:rPr>
      </w:pPr>
      <w:r>
        <w:rPr>
          <w:rStyle w:val="FootnoteReference"/>
        </w:rPr>
        <w:footnoteRef/>
      </w:r>
      <w:r w:rsidRPr="001E266F">
        <w:rPr>
          <w:lang w:val="en-US"/>
        </w:rPr>
        <w:t xml:space="preserve"> </w:t>
      </w:r>
      <w:r>
        <w:rPr>
          <w:lang w:val="en-US"/>
        </w:rPr>
        <w:t xml:space="preserve">E.g. </w:t>
      </w:r>
      <w:r w:rsidRPr="009937CC">
        <w:rPr>
          <w:lang w:val="en-US"/>
        </w:rPr>
        <w:t>UN Security Council resolutions</w:t>
      </w:r>
      <w:r>
        <w:rPr>
          <w:lang w:val="en-US"/>
        </w:rPr>
        <w:t xml:space="preserve"> 1325 (2000)</w:t>
      </w:r>
      <w:r w:rsidRPr="009937CC">
        <w:rPr>
          <w:lang w:val="en-US"/>
        </w:rPr>
        <w:t>, UNSCR 1820 (2008), UNSCR 1888 (2009)</w:t>
      </w:r>
      <w:r>
        <w:rPr>
          <w:lang w:val="en-US"/>
        </w:rPr>
        <w:t>, and UNSCR 1960 (2010)</w:t>
      </w:r>
      <w:r w:rsidRPr="009937CC">
        <w:rPr>
          <w:lang w:val="en-US"/>
        </w:rPr>
        <w:t>.</w:t>
      </w:r>
    </w:p>
  </w:footnote>
  <w:footnote w:id="3">
    <w:p w14:paraId="66A50213" w14:textId="1FBC9F2F" w:rsidR="000F7BD4" w:rsidRPr="00C8442E" w:rsidRDefault="000F7BD4">
      <w:pPr>
        <w:pStyle w:val="FootnoteText"/>
        <w:rPr>
          <w:lang w:val="en-US"/>
        </w:rPr>
      </w:pPr>
      <w:r>
        <w:rPr>
          <w:rStyle w:val="FootnoteReference"/>
        </w:rPr>
        <w:footnoteRef/>
      </w:r>
      <w:r w:rsidRPr="00C8442E">
        <w:rPr>
          <w:lang w:val="en-US"/>
        </w:rPr>
        <w:t xml:space="preserve"> Woman interviewed in Kalehe territory, June 2014. </w:t>
      </w:r>
    </w:p>
  </w:footnote>
  <w:footnote w:id="4">
    <w:p w14:paraId="6D183721" w14:textId="77777777" w:rsidR="000F7BD4" w:rsidRDefault="000F7BD4" w:rsidP="00862FD2">
      <w:pPr>
        <w:rPr>
          <w:rFonts w:ascii="TimesNewRomanPSMT" w:hAnsi="TimesNewRomanPSMT" w:cs="TimesNewRomanPSMT"/>
          <w:sz w:val="26"/>
          <w:szCs w:val="26"/>
          <w:lang w:val="en-US" w:eastAsia="nb-NO"/>
        </w:rPr>
      </w:pPr>
      <w:r>
        <w:rPr>
          <w:rStyle w:val="FootnoteReference"/>
        </w:rPr>
        <w:footnoteRef/>
      </w:r>
      <w:r w:rsidRPr="00862FD2">
        <w:rPr>
          <w:lang w:val="en-US"/>
        </w:rPr>
        <w:t xml:space="preserve"> </w:t>
      </w:r>
      <w:r>
        <w:rPr>
          <w:lang w:val="en-US"/>
        </w:rPr>
        <w:t>Because the survey was a “directed survey” (i.e. certain questions were automatically added or deleted based on responses to other questions), the number of survey</w:t>
      </w:r>
      <w:r>
        <w:rPr>
          <w:iCs/>
          <w:lang w:val="en-US"/>
        </w:rPr>
        <w:t xml:space="preserve"> respondents</w:t>
      </w:r>
      <w:r>
        <w:rPr>
          <w:lang w:val="en-US"/>
        </w:rPr>
        <w:t xml:space="preserve"> varies from question to question.</w:t>
      </w:r>
    </w:p>
    <w:p w14:paraId="5507D6A3" w14:textId="77777777" w:rsidR="000F7BD4" w:rsidRPr="00862FD2" w:rsidRDefault="000F7BD4">
      <w:pPr>
        <w:pStyle w:val="FootnoteText"/>
        <w:rPr>
          <w:lang w:val="en-US"/>
        </w:rPr>
      </w:pPr>
    </w:p>
  </w:footnote>
  <w:footnote w:id="5">
    <w:p w14:paraId="28C2098D" w14:textId="77777777" w:rsidR="000F7BD4" w:rsidRPr="004566B6" w:rsidRDefault="000F7BD4">
      <w:pPr>
        <w:pStyle w:val="FootnoteText"/>
        <w:rPr>
          <w:lang w:val="en-US"/>
        </w:rPr>
      </w:pPr>
      <w:r>
        <w:rPr>
          <w:rStyle w:val="FootnoteReference"/>
        </w:rPr>
        <w:footnoteRef/>
      </w:r>
      <w:r w:rsidRPr="004566B6">
        <w:rPr>
          <w:lang w:val="en-US"/>
        </w:rPr>
        <w:t xml:space="preserve"> </w:t>
      </w:r>
      <w:r>
        <w:rPr>
          <w:lang w:val="en-US"/>
        </w:rPr>
        <w:t>Conflict-related violence should not be distinguished with civil forms of sexual violence, such as e.g. domestic violence. In other words this variable does not include SV committed by partners.</w:t>
      </w:r>
    </w:p>
  </w:footnote>
  <w:footnote w:id="6">
    <w:p w14:paraId="08A677A2" w14:textId="77777777" w:rsidR="000F7BD4" w:rsidRPr="00880955" w:rsidRDefault="000F7BD4" w:rsidP="0055134F">
      <w:pPr>
        <w:pStyle w:val="FootnoteText"/>
        <w:rPr>
          <w:lang w:val="en-US"/>
        </w:rPr>
      </w:pPr>
      <w:r>
        <w:rPr>
          <w:rStyle w:val="FootnoteReference"/>
        </w:rPr>
        <w:footnoteRef/>
      </w:r>
      <w:r w:rsidRPr="00880955">
        <w:rPr>
          <w:lang w:val="en-US"/>
        </w:rPr>
        <w:t xml:space="preserve"> </w:t>
      </w:r>
      <w:r>
        <w:rPr>
          <w:lang w:val="en-US"/>
        </w:rPr>
        <w:t>S</w:t>
      </w:r>
      <w:r w:rsidRPr="00332180">
        <w:rPr>
          <w:lang w:val="en-US"/>
        </w:rPr>
        <w:t>ee more about coarsened exact matching here: http://gking.harvard.edu/files/gking/files/cemStata_0.pdf; https://pan.oxfordjournals.org/content/e</w:t>
      </w:r>
      <w:r>
        <w:rPr>
          <w:lang w:val="en-US"/>
        </w:rPr>
        <w:t>arly/2011/08/23/pan.mpr013.full</w:t>
      </w:r>
    </w:p>
  </w:footnote>
  <w:footnote w:id="7">
    <w:p w14:paraId="1665EBD7" w14:textId="274B0D8B" w:rsidR="000F7BD4" w:rsidRPr="00880955" w:rsidRDefault="000F7BD4">
      <w:pPr>
        <w:pStyle w:val="FootnoteText"/>
        <w:rPr>
          <w:lang w:val="en-US"/>
        </w:rPr>
      </w:pPr>
      <w:r>
        <w:rPr>
          <w:rStyle w:val="FootnoteReference"/>
        </w:rPr>
        <w:footnoteRef/>
      </w:r>
      <w:r w:rsidRPr="00880955">
        <w:rPr>
          <w:lang w:val="en-US"/>
        </w:rPr>
        <w:t xml:space="preserve"> </w:t>
      </w:r>
      <w:hyperlink r:id="rId2" w:history="1">
        <w:r w:rsidRPr="00880955">
          <w:rPr>
            <w:rStyle w:val="Hyperlink"/>
            <w:lang w:val="en-US"/>
          </w:rPr>
          <w:t>http://www.un.org/en/globalissues/briefingpapers/endviol/</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27"/>
    <w:multiLevelType w:val="hybridMultilevel"/>
    <w:tmpl w:val="9C1445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2B4913"/>
    <w:multiLevelType w:val="multilevel"/>
    <w:tmpl w:val="D0640D56"/>
    <w:lvl w:ilvl="0">
      <w:start w:val="1"/>
      <w:numFmt w:val="decimal"/>
      <w:pStyle w:val="StyleHeading1Left0Firstline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EB1C70"/>
    <w:multiLevelType w:val="hybridMultilevel"/>
    <w:tmpl w:val="90E8A652"/>
    <w:lvl w:ilvl="0" w:tplc="0414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EE093F8">
      <w:start w:val="40"/>
      <w:numFmt w:val="bullet"/>
      <w:lvlText w:val="-"/>
      <w:lvlJc w:val="left"/>
      <w:pPr>
        <w:ind w:left="2880" w:hanging="360"/>
      </w:pPr>
      <w:rPr>
        <w:rFonts w:ascii="Garamond" w:eastAsia="Times New Roman" w:hAnsi="Garamond"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067"/>
    <w:multiLevelType w:val="hybridMultilevel"/>
    <w:tmpl w:val="DBCE06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E87E32"/>
    <w:multiLevelType w:val="hybridMultilevel"/>
    <w:tmpl w:val="DE9A67D8"/>
    <w:lvl w:ilvl="0" w:tplc="A2482DD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EE20BD"/>
    <w:multiLevelType w:val="hybridMultilevel"/>
    <w:tmpl w:val="2D3CBF44"/>
    <w:lvl w:ilvl="0" w:tplc="CB4228F8">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CF474F8"/>
    <w:multiLevelType w:val="hybridMultilevel"/>
    <w:tmpl w:val="87147286"/>
    <w:lvl w:ilvl="0" w:tplc="2A3203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012E92"/>
    <w:multiLevelType w:val="multilevel"/>
    <w:tmpl w:val="DB226704"/>
    <w:lvl w:ilvl="0">
      <w:start w:val="1"/>
      <w:numFmt w:val="decimal"/>
      <w:pStyle w:val="Heading1"/>
      <w:lvlText w:val="%1."/>
      <w:lvlJc w:val="left"/>
      <w:pPr>
        <w:tabs>
          <w:tab w:val="num" w:pos="502"/>
        </w:tabs>
        <w:ind w:left="502" w:hanging="360"/>
      </w:pPr>
      <w:rPr>
        <w:rFonts w:hint="default"/>
      </w:rPr>
    </w:lvl>
    <w:lvl w:ilvl="1">
      <w:start w:val="1"/>
      <w:numFmt w:val="decimal"/>
      <w:pStyle w:val="Heading2"/>
      <w:lvlText w:val="%1.%2."/>
      <w:lvlJc w:val="left"/>
      <w:pPr>
        <w:tabs>
          <w:tab w:val="num" w:pos="624"/>
        </w:tabs>
        <w:ind w:left="567" w:hanging="567"/>
      </w:pPr>
      <w:rPr>
        <w:rFonts w:hint="default"/>
      </w:rPr>
    </w:lvl>
    <w:lvl w:ilvl="2">
      <w:start w:val="1"/>
      <w:numFmt w:val="decimal"/>
      <w:lvlText w:val="%1.%2.%3."/>
      <w:lvlJc w:val="left"/>
      <w:pPr>
        <w:tabs>
          <w:tab w:val="num" w:pos="1327"/>
        </w:tabs>
        <w:ind w:left="1111" w:hanging="504"/>
      </w:pPr>
      <w:rPr>
        <w:rFonts w:hint="default"/>
      </w:rPr>
    </w:lvl>
    <w:lvl w:ilvl="3">
      <w:start w:val="1"/>
      <w:numFmt w:val="decimal"/>
      <w:lvlText w:val="%1.%2.%3.%4."/>
      <w:lvlJc w:val="left"/>
      <w:pPr>
        <w:tabs>
          <w:tab w:val="num" w:pos="1687"/>
        </w:tabs>
        <w:ind w:left="1615" w:hanging="648"/>
      </w:pPr>
      <w:rPr>
        <w:rFonts w:hint="default"/>
      </w:rPr>
    </w:lvl>
    <w:lvl w:ilvl="4">
      <w:start w:val="1"/>
      <w:numFmt w:val="decimal"/>
      <w:lvlText w:val="%1.%2.%3.%4.%5."/>
      <w:lvlJc w:val="left"/>
      <w:pPr>
        <w:tabs>
          <w:tab w:val="num" w:pos="2407"/>
        </w:tabs>
        <w:ind w:left="2119" w:hanging="792"/>
      </w:pPr>
      <w:rPr>
        <w:rFonts w:hint="default"/>
      </w:rPr>
    </w:lvl>
    <w:lvl w:ilvl="5">
      <w:start w:val="1"/>
      <w:numFmt w:val="decimal"/>
      <w:lvlText w:val="%1.%2.%3.%4.%5.%6."/>
      <w:lvlJc w:val="left"/>
      <w:pPr>
        <w:tabs>
          <w:tab w:val="num" w:pos="2767"/>
        </w:tabs>
        <w:ind w:left="2623" w:hanging="936"/>
      </w:pPr>
      <w:rPr>
        <w:rFonts w:hint="default"/>
      </w:rPr>
    </w:lvl>
    <w:lvl w:ilvl="6">
      <w:start w:val="1"/>
      <w:numFmt w:val="decimal"/>
      <w:lvlText w:val="%1.%2.%3.%4.%5.%6.%7."/>
      <w:lvlJc w:val="left"/>
      <w:pPr>
        <w:tabs>
          <w:tab w:val="num" w:pos="3487"/>
        </w:tabs>
        <w:ind w:left="3127" w:hanging="1080"/>
      </w:pPr>
      <w:rPr>
        <w:rFonts w:hint="default"/>
      </w:rPr>
    </w:lvl>
    <w:lvl w:ilvl="7">
      <w:start w:val="1"/>
      <w:numFmt w:val="decimal"/>
      <w:lvlText w:val="%1.%2.%3.%4.%5.%6.%7.%8."/>
      <w:lvlJc w:val="left"/>
      <w:pPr>
        <w:tabs>
          <w:tab w:val="num" w:pos="3847"/>
        </w:tabs>
        <w:ind w:left="3631" w:hanging="1224"/>
      </w:pPr>
      <w:rPr>
        <w:rFonts w:hint="default"/>
      </w:rPr>
    </w:lvl>
    <w:lvl w:ilvl="8">
      <w:start w:val="1"/>
      <w:numFmt w:val="decimal"/>
      <w:lvlText w:val="%1.%2.%3.%4.%5.%6.%7.%8.%9."/>
      <w:lvlJc w:val="left"/>
      <w:pPr>
        <w:tabs>
          <w:tab w:val="num" w:pos="4567"/>
        </w:tabs>
        <w:ind w:left="4207" w:hanging="1440"/>
      </w:pPr>
      <w:rPr>
        <w:rFonts w:hint="default"/>
      </w:rPr>
    </w:lvl>
  </w:abstractNum>
  <w:abstractNum w:abstractNumId="8" w15:restartNumberingAfterBreak="0">
    <w:nsid w:val="2EFD670B"/>
    <w:multiLevelType w:val="hybridMultilevel"/>
    <w:tmpl w:val="D734A3DE"/>
    <w:lvl w:ilvl="0" w:tplc="0414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4331"/>
    <w:multiLevelType w:val="hybridMultilevel"/>
    <w:tmpl w:val="B2E485E4"/>
    <w:lvl w:ilvl="0" w:tplc="C0B0C92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5DD1825"/>
    <w:multiLevelType w:val="hybridMultilevel"/>
    <w:tmpl w:val="04A6B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4911D1"/>
    <w:multiLevelType w:val="hybridMultilevel"/>
    <w:tmpl w:val="E5987434"/>
    <w:lvl w:ilvl="0" w:tplc="D7B840DE">
      <w:start w:val="27"/>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DC74BE"/>
    <w:multiLevelType w:val="hybridMultilevel"/>
    <w:tmpl w:val="2FBC86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5752607E">
      <w:start w:val="10"/>
      <w:numFmt w:val="bullet"/>
      <w:lvlText w:val="-"/>
      <w:lvlJc w:val="left"/>
      <w:pPr>
        <w:ind w:left="3600" w:hanging="360"/>
      </w:pPr>
      <w:rPr>
        <w:rFonts w:ascii="Garamond" w:eastAsia="Times New Roman" w:hAnsi="Garamond" w:cs="Times New Roman"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7E255D"/>
    <w:multiLevelType w:val="hybridMultilevel"/>
    <w:tmpl w:val="33BAC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120DC4"/>
    <w:multiLevelType w:val="hybridMultilevel"/>
    <w:tmpl w:val="4E7652E0"/>
    <w:lvl w:ilvl="0" w:tplc="E37A55AE">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C8C567C"/>
    <w:multiLevelType w:val="hybridMultilevel"/>
    <w:tmpl w:val="03A0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D00CA"/>
    <w:multiLevelType w:val="hybridMultilevel"/>
    <w:tmpl w:val="7562A7CC"/>
    <w:lvl w:ilvl="0" w:tplc="2EBAE56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4DD93439"/>
    <w:multiLevelType w:val="hybridMultilevel"/>
    <w:tmpl w:val="6FD8547A"/>
    <w:lvl w:ilvl="0" w:tplc="37225E0A">
      <w:start w:val="4"/>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F193C29"/>
    <w:multiLevelType w:val="multilevel"/>
    <w:tmpl w:val="4984B1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827E18"/>
    <w:multiLevelType w:val="hybridMultilevel"/>
    <w:tmpl w:val="62B4073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547F62BC"/>
    <w:multiLevelType w:val="hybridMultilevel"/>
    <w:tmpl w:val="97E49C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FC06A2"/>
    <w:multiLevelType w:val="hybridMultilevel"/>
    <w:tmpl w:val="4A58767C"/>
    <w:lvl w:ilvl="0" w:tplc="00C26140">
      <w:start w:val="1"/>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9101038"/>
    <w:multiLevelType w:val="hybridMultilevel"/>
    <w:tmpl w:val="C77EE3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2A2B8B"/>
    <w:multiLevelType w:val="singleLevel"/>
    <w:tmpl w:val="3A2AA70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F0493E"/>
    <w:multiLevelType w:val="hybridMultilevel"/>
    <w:tmpl w:val="492A5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4F560B8"/>
    <w:multiLevelType w:val="singleLevel"/>
    <w:tmpl w:val="82D00BF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A7406C"/>
    <w:multiLevelType w:val="hybridMultilevel"/>
    <w:tmpl w:val="744E6EF2"/>
    <w:lvl w:ilvl="0" w:tplc="D04EE138">
      <w:start w:val="1"/>
      <w:numFmt w:val="upperLetter"/>
      <w:lvlText w:val="%1."/>
      <w:lvlJc w:val="left"/>
      <w:pPr>
        <w:tabs>
          <w:tab w:val="num" w:pos="720"/>
        </w:tabs>
        <w:ind w:left="720" w:hanging="360"/>
      </w:pPr>
    </w:lvl>
    <w:lvl w:ilvl="1" w:tplc="BC964DCE">
      <w:start w:val="1"/>
      <w:numFmt w:val="upperLetter"/>
      <w:lvlText w:val="%2."/>
      <w:lvlJc w:val="left"/>
      <w:pPr>
        <w:tabs>
          <w:tab w:val="num" w:pos="1440"/>
        </w:tabs>
        <w:ind w:left="1440" w:hanging="360"/>
      </w:pPr>
    </w:lvl>
    <w:lvl w:ilvl="2" w:tplc="4B60123C" w:tentative="1">
      <w:start w:val="1"/>
      <w:numFmt w:val="upperLetter"/>
      <w:lvlText w:val="%3."/>
      <w:lvlJc w:val="left"/>
      <w:pPr>
        <w:tabs>
          <w:tab w:val="num" w:pos="2160"/>
        </w:tabs>
        <w:ind w:left="2160" w:hanging="360"/>
      </w:pPr>
    </w:lvl>
    <w:lvl w:ilvl="3" w:tplc="06CABAD2" w:tentative="1">
      <w:start w:val="1"/>
      <w:numFmt w:val="upperLetter"/>
      <w:lvlText w:val="%4."/>
      <w:lvlJc w:val="left"/>
      <w:pPr>
        <w:tabs>
          <w:tab w:val="num" w:pos="2880"/>
        </w:tabs>
        <w:ind w:left="2880" w:hanging="360"/>
      </w:pPr>
    </w:lvl>
    <w:lvl w:ilvl="4" w:tplc="A5007CB6" w:tentative="1">
      <w:start w:val="1"/>
      <w:numFmt w:val="upperLetter"/>
      <w:lvlText w:val="%5."/>
      <w:lvlJc w:val="left"/>
      <w:pPr>
        <w:tabs>
          <w:tab w:val="num" w:pos="3600"/>
        </w:tabs>
        <w:ind w:left="3600" w:hanging="360"/>
      </w:pPr>
    </w:lvl>
    <w:lvl w:ilvl="5" w:tplc="BD7A9746" w:tentative="1">
      <w:start w:val="1"/>
      <w:numFmt w:val="upperLetter"/>
      <w:lvlText w:val="%6."/>
      <w:lvlJc w:val="left"/>
      <w:pPr>
        <w:tabs>
          <w:tab w:val="num" w:pos="4320"/>
        </w:tabs>
        <w:ind w:left="4320" w:hanging="360"/>
      </w:pPr>
    </w:lvl>
    <w:lvl w:ilvl="6" w:tplc="E3CCCEA4" w:tentative="1">
      <w:start w:val="1"/>
      <w:numFmt w:val="upperLetter"/>
      <w:lvlText w:val="%7."/>
      <w:lvlJc w:val="left"/>
      <w:pPr>
        <w:tabs>
          <w:tab w:val="num" w:pos="5040"/>
        </w:tabs>
        <w:ind w:left="5040" w:hanging="360"/>
      </w:pPr>
    </w:lvl>
    <w:lvl w:ilvl="7" w:tplc="25CED652" w:tentative="1">
      <w:start w:val="1"/>
      <w:numFmt w:val="upperLetter"/>
      <w:lvlText w:val="%8."/>
      <w:lvlJc w:val="left"/>
      <w:pPr>
        <w:tabs>
          <w:tab w:val="num" w:pos="5760"/>
        </w:tabs>
        <w:ind w:left="5760" w:hanging="360"/>
      </w:pPr>
    </w:lvl>
    <w:lvl w:ilvl="8" w:tplc="AA96E7B8" w:tentative="1">
      <w:start w:val="1"/>
      <w:numFmt w:val="upperLetter"/>
      <w:lvlText w:val="%9."/>
      <w:lvlJc w:val="left"/>
      <w:pPr>
        <w:tabs>
          <w:tab w:val="num" w:pos="6480"/>
        </w:tabs>
        <w:ind w:left="6480" w:hanging="360"/>
      </w:pPr>
    </w:lvl>
  </w:abstractNum>
  <w:abstractNum w:abstractNumId="27" w15:restartNumberingAfterBreak="0">
    <w:nsid w:val="6A5E720E"/>
    <w:multiLevelType w:val="hybridMultilevel"/>
    <w:tmpl w:val="FB0ED14E"/>
    <w:lvl w:ilvl="0" w:tplc="1F1A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54D60"/>
    <w:multiLevelType w:val="hybridMultilevel"/>
    <w:tmpl w:val="7BF29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14FF9"/>
    <w:multiLevelType w:val="hybridMultilevel"/>
    <w:tmpl w:val="1908ACE6"/>
    <w:lvl w:ilvl="0" w:tplc="37225E0A">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810951"/>
    <w:multiLevelType w:val="hybridMultilevel"/>
    <w:tmpl w:val="1B7CC61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1" w15:restartNumberingAfterBreak="0">
    <w:nsid w:val="74581A01"/>
    <w:multiLevelType w:val="hybridMultilevel"/>
    <w:tmpl w:val="79C88644"/>
    <w:lvl w:ilvl="0" w:tplc="D212BD4A">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7A752116"/>
    <w:multiLevelType w:val="hybridMultilevel"/>
    <w:tmpl w:val="E9DC3B7A"/>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
  </w:num>
  <w:num w:numId="4">
    <w:abstractNumId w:val="18"/>
  </w:num>
  <w:num w:numId="5">
    <w:abstractNumId w:val="7"/>
  </w:num>
  <w:num w:numId="6">
    <w:abstractNumId w:val="4"/>
  </w:num>
  <w:num w:numId="7">
    <w:abstractNumId w:val="6"/>
  </w:num>
  <w:num w:numId="8">
    <w:abstractNumId w:val="21"/>
  </w:num>
  <w:num w:numId="9">
    <w:abstractNumId w:val="15"/>
  </w:num>
  <w:num w:numId="10">
    <w:abstractNumId w:val="8"/>
  </w:num>
  <w:num w:numId="11">
    <w:abstractNumId w:val="28"/>
  </w:num>
  <w:num w:numId="12">
    <w:abstractNumId w:val="31"/>
  </w:num>
  <w:num w:numId="13">
    <w:abstractNumId w:val="14"/>
  </w:num>
  <w:num w:numId="14">
    <w:abstractNumId w:val="7"/>
  </w:num>
  <w:num w:numId="15">
    <w:abstractNumId w:val="7"/>
  </w:num>
  <w:num w:numId="16">
    <w:abstractNumId w:val="9"/>
  </w:num>
  <w:num w:numId="17">
    <w:abstractNumId w:val="29"/>
  </w:num>
  <w:num w:numId="18">
    <w:abstractNumId w:val="17"/>
  </w:num>
  <w:num w:numId="19">
    <w:abstractNumId w:val="16"/>
  </w:num>
  <w:num w:numId="20">
    <w:abstractNumId w:val="7"/>
  </w:num>
  <w:num w:numId="21">
    <w:abstractNumId w:val="5"/>
  </w:num>
  <w:num w:numId="22">
    <w:abstractNumId w:val="7"/>
  </w:num>
  <w:num w:numId="23">
    <w:abstractNumId w:val="7"/>
  </w:num>
  <w:num w:numId="24">
    <w:abstractNumId w:val="7"/>
  </w:num>
  <w:num w:numId="25">
    <w:abstractNumId w:val="7"/>
  </w:num>
  <w:num w:numId="26">
    <w:abstractNumId w:val="0"/>
  </w:num>
  <w:num w:numId="27">
    <w:abstractNumId w:val="11"/>
  </w:num>
  <w:num w:numId="28">
    <w:abstractNumId w:val="7"/>
  </w:num>
  <w:num w:numId="29">
    <w:abstractNumId w:val="2"/>
  </w:num>
  <w:num w:numId="30">
    <w:abstractNumId w:val="12"/>
  </w:num>
  <w:num w:numId="31">
    <w:abstractNumId w:val="20"/>
  </w:num>
  <w:num w:numId="32">
    <w:abstractNumId w:val="22"/>
  </w:num>
  <w:num w:numId="33">
    <w:abstractNumId w:val="3"/>
  </w:num>
  <w:num w:numId="34">
    <w:abstractNumId w:val="26"/>
  </w:num>
  <w:num w:numId="35">
    <w:abstractNumId w:val="32"/>
  </w:num>
  <w:num w:numId="36">
    <w:abstractNumId w:val="10"/>
  </w:num>
  <w:num w:numId="37">
    <w:abstractNumId w:val="7"/>
  </w:num>
  <w:num w:numId="38">
    <w:abstractNumId w:val="7"/>
  </w:num>
  <w:num w:numId="39">
    <w:abstractNumId w:val="24"/>
  </w:num>
  <w:num w:numId="40">
    <w:abstractNumId w:val="7"/>
  </w:num>
  <w:num w:numId="41">
    <w:abstractNumId w:val="30"/>
  </w:num>
  <w:num w:numId="42">
    <w:abstractNumId w:val="19"/>
  </w:num>
  <w:num w:numId="43">
    <w:abstractNumId w:val="7"/>
  </w:num>
  <w:num w:numId="44">
    <w:abstractNumId w:val="13"/>
  </w:num>
  <w:num w:numId="45">
    <w:abstractNumId w:val="27"/>
  </w:num>
  <w:num w:numId="46">
    <w:abstractNumId w:val="7"/>
    <w:lvlOverride w:ilvl="0">
      <w:startOverride w:val="2"/>
    </w:lvlOverride>
  </w:num>
  <w:num w:numId="47">
    <w:abstractNumId w:val="7"/>
    <w:lvlOverride w:ilvl="0">
      <w:startOverride w:val="3"/>
    </w:lvlOverride>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C8"/>
    <w:rsid w:val="00001665"/>
    <w:rsid w:val="0000283D"/>
    <w:rsid w:val="00002AE5"/>
    <w:rsid w:val="00004B48"/>
    <w:rsid w:val="00004F2E"/>
    <w:rsid w:val="00006F2F"/>
    <w:rsid w:val="00007F9E"/>
    <w:rsid w:val="00007FF0"/>
    <w:rsid w:val="00012CCB"/>
    <w:rsid w:val="00013191"/>
    <w:rsid w:val="00014ECE"/>
    <w:rsid w:val="00016E36"/>
    <w:rsid w:val="00017059"/>
    <w:rsid w:val="0001723C"/>
    <w:rsid w:val="00017DFC"/>
    <w:rsid w:val="00020A09"/>
    <w:rsid w:val="0002104A"/>
    <w:rsid w:val="000217DC"/>
    <w:rsid w:val="000222FD"/>
    <w:rsid w:val="000226DF"/>
    <w:rsid w:val="00022BA3"/>
    <w:rsid w:val="0002449C"/>
    <w:rsid w:val="00024847"/>
    <w:rsid w:val="00026537"/>
    <w:rsid w:val="00026B08"/>
    <w:rsid w:val="00027788"/>
    <w:rsid w:val="000316D8"/>
    <w:rsid w:val="00032C49"/>
    <w:rsid w:val="00032ED6"/>
    <w:rsid w:val="00033103"/>
    <w:rsid w:val="000336A1"/>
    <w:rsid w:val="00033752"/>
    <w:rsid w:val="00034F9C"/>
    <w:rsid w:val="0004049E"/>
    <w:rsid w:val="00042661"/>
    <w:rsid w:val="00042775"/>
    <w:rsid w:val="00043B73"/>
    <w:rsid w:val="000453D7"/>
    <w:rsid w:val="00045668"/>
    <w:rsid w:val="00045BAB"/>
    <w:rsid w:val="00046540"/>
    <w:rsid w:val="0005020B"/>
    <w:rsid w:val="00050CAA"/>
    <w:rsid w:val="0005124E"/>
    <w:rsid w:val="000528F6"/>
    <w:rsid w:val="00052AC2"/>
    <w:rsid w:val="000534A0"/>
    <w:rsid w:val="00053713"/>
    <w:rsid w:val="00057425"/>
    <w:rsid w:val="00060922"/>
    <w:rsid w:val="000610A0"/>
    <w:rsid w:val="000612C5"/>
    <w:rsid w:val="00061759"/>
    <w:rsid w:val="00062525"/>
    <w:rsid w:val="000640D7"/>
    <w:rsid w:val="000668D1"/>
    <w:rsid w:val="000720E7"/>
    <w:rsid w:val="00074A2F"/>
    <w:rsid w:val="00076892"/>
    <w:rsid w:val="00077802"/>
    <w:rsid w:val="000804AA"/>
    <w:rsid w:val="000851C2"/>
    <w:rsid w:val="00085639"/>
    <w:rsid w:val="00086203"/>
    <w:rsid w:val="000869A3"/>
    <w:rsid w:val="00092042"/>
    <w:rsid w:val="00093BB4"/>
    <w:rsid w:val="0009499A"/>
    <w:rsid w:val="00094BA5"/>
    <w:rsid w:val="000955A2"/>
    <w:rsid w:val="00096DBD"/>
    <w:rsid w:val="000A19B6"/>
    <w:rsid w:val="000A3422"/>
    <w:rsid w:val="000A5619"/>
    <w:rsid w:val="000A673B"/>
    <w:rsid w:val="000A7E1A"/>
    <w:rsid w:val="000B0644"/>
    <w:rsid w:val="000B1C9B"/>
    <w:rsid w:val="000B3A96"/>
    <w:rsid w:val="000B532A"/>
    <w:rsid w:val="000B5740"/>
    <w:rsid w:val="000B5ED4"/>
    <w:rsid w:val="000B675A"/>
    <w:rsid w:val="000B6B49"/>
    <w:rsid w:val="000B72DD"/>
    <w:rsid w:val="000C04F9"/>
    <w:rsid w:val="000C1303"/>
    <w:rsid w:val="000C24A2"/>
    <w:rsid w:val="000C3736"/>
    <w:rsid w:val="000C3E06"/>
    <w:rsid w:val="000C3F0D"/>
    <w:rsid w:val="000C487D"/>
    <w:rsid w:val="000C567A"/>
    <w:rsid w:val="000C58FC"/>
    <w:rsid w:val="000C5E8F"/>
    <w:rsid w:val="000C75FF"/>
    <w:rsid w:val="000D307D"/>
    <w:rsid w:val="000D3D1E"/>
    <w:rsid w:val="000D437A"/>
    <w:rsid w:val="000D44F1"/>
    <w:rsid w:val="000D475F"/>
    <w:rsid w:val="000D4EFF"/>
    <w:rsid w:val="000D6F9B"/>
    <w:rsid w:val="000E06F0"/>
    <w:rsid w:val="000E184A"/>
    <w:rsid w:val="000E2176"/>
    <w:rsid w:val="000F0395"/>
    <w:rsid w:val="000F1A75"/>
    <w:rsid w:val="000F3A55"/>
    <w:rsid w:val="000F51D6"/>
    <w:rsid w:val="000F594E"/>
    <w:rsid w:val="000F6D68"/>
    <w:rsid w:val="000F7BD4"/>
    <w:rsid w:val="00100575"/>
    <w:rsid w:val="00101D13"/>
    <w:rsid w:val="00105CEA"/>
    <w:rsid w:val="00105E4C"/>
    <w:rsid w:val="0011093E"/>
    <w:rsid w:val="00111D6E"/>
    <w:rsid w:val="0012105F"/>
    <w:rsid w:val="00121304"/>
    <w:rsid w:val="001214F5"/>
    <w:rsid w:val="0012207C"/>
    <w:rsid w:val="00122445"/>
    <w:rsid w:val="0012284B"/>
    <w:rsid w:val="00123736"/>
    <w:rsid w:val="00125874"/>
    <w:rsid w:val="00126B8E"/>
    <w:rsid w:val="00126FC1"/>
    <w:rsid w:val="0013232B"/>
    <w:rsid w:val="00132FD6"/>
    <w:rsid w:val="00134A80"/>
    <w:rsid w:val="001403E2"/>
    <w:rsid w:val="00141B6F"/>
    <w:rsid w:val="001430C5"/>
    <w:rsid w:val="0014396F"/>
    <w:rsid w:val="001442F6"/>
    <w:rsid w:val="00145576"/>
    <w:rsid w:val="0014679C"/>
    <w:rsid w:val="0015115C"/>
    <w:rsid w:val="00154AEB"/>
    <w:rsid w:val="00156597"/>
    <w:rsid w:val="00156ADC"/>
    <w:rsid w:val="00161D05"/>
    <w:rsid w:val="00162920"/>
    <w:rsid w:val="00164F5D"/>
    <w:rsid w:val="00166AFF"/>
    <w:rsid w:val="00170AC9"/>
    <w:rsid w:val="00170ECA"/>
    <w:rsid w:val="00171E62"/>
    <w:rsid w:val="00172A79"/>
    <w:rsid w:val="0017343C"/>
    <w:rsid w:val="00173FB9"/>
    <w:rsid w:val="00174331"/>
    <w:rsid w:val="00175107"/>
    <w:rsid w:val="001757CE"/>
    <w:rsid w:val="00180FCF"/>
    <w:rsid w:val="0018275B"/>
    <w:rsid w:val="00183211"/>
    <w:rsid w:val="00190E82"/>
    <w:rsid w:val="001913A3"/>
    <w:rsid w:val="00191C2A"/>
    <w:rsid w:val="00192703"/>
    <w:rsid w:val="00192876"/>
    <w:rsid w:val="00193DFF"/>
    <w:rsid w:val="001969C5"/>
    <w:rsid w:val="00196F6A"/>
    <w:rsid w:val="00197FD0"/>
    <w:rsid w:val="001A0FA5"/>
    <w:rsid w:val="001A2517"/>
    <w:rsid w:val="001A292A"/>
    <w:rsid w:val="001A53CF"/>
    <w:rsid w:val="001A5D3C"/>
    <w:rsid w:val="001A6879"/>
    <w:rsid w:val="001A7D3C"/>
    <w:rsid w:val="001B07AF"/>
    <w:rsid w:val="001B18AC"/>
    <w:rsid w:val="001B1A48"/>
    <w:rsid w:val="001B1D8B"/>
    <w:rsid w:val="001B2B15"/>
    <w:rsid w:val="001B5C6D"/>
    <w:rsid w:val="001B6831"/>
    <w:rsid w:val="001B7229"/>
    <w:rsid w:val="001B7551"/>
    <w:rsid w:val="001C1C4C"/>
    <w:rsid w:val="001C431C"/>
    <w:rsid w:val="001C682D"/>
    <w:rsid w:val="001C7A80"/>
    <w:rsid w:val="001D2E30"/>
    <w:rsid w:val="001D3EA6"/>
    <w:rsid w:val="001D5380"/>
    <w:rsid w:val="001D598F"/>
    <w:rsid w:val="001D5F97"/>
    <w:rsid w:val="001D6831"/>
    <w:rsid w:val="001E0170"/>
    <w:rsid w:val="001E0194"/>
    <w:rsid w:val="001E4DDE"/>
    <w:rsid w:val="001E4F0E"/>
    <w:rsid w:val="001E54A1"/>
    <w:rsid w:val="001E7E97"/>
    <w:rsid w:val="001F0834"/>
    <w:rsid w:val="001F0CEE"/>
    <w:rsid w:val="001F2081"/>
    <w:rsid w:val="001F3044"/>
    <w:rsid w:val="001F4DED"/>
    <w:rsid w:val="00200865"/>
    <w:rsid w:val="00201238"/>
    <w:rsid w:val="0020137A"/>
    <w:rsid w:val="00202B2F"/>
    <w:rsid w:val="00202FA0"/>
    <w:rsid w:val="00203F45"/>
    <w:rsid w:val="00204724"/>
    <w:rsid w:val="00204FB5"/>
    <w:rsid w:val="002073E6"/>
    <w:rsid w:val="002074DB"/>
    <w:rsid w:val="00207950"/>
    <w:rsid w:val="00210977"/>
    <w:rsid w:val="00217898"/>
    <w:rsid w:val="002203F4"/>
    <w:rsid w:val="00223196"/>
    <w:rsid w:val="00223A6B"/>
    <w:rsid w:val="00234F10"/>
    <w:rsid w:val="002354F9"/>
    <w:rsid w:val="00235A50"/>
    <w:rsid w:val="0024022E"/>
    <w:rsid w:val="00240B82"/>
    <w:rsid w:val="0024426B"/>
    <w:rsid w:val="0024665F"/>
    <w:rsid w:val="00246935"/>
    <w:rsid w:val="00246DAA"/>
    <w:rsid w:val="002476E0"/>
    <w:rsid w:val="00251E52"/>
    <w:rsid w:val="002523E3"/>
    <w:rsid w:val="00253C6C"/>
    <w:rsid w:val="00255219"/>
    <w:rsid w:val="0025681A"/>
    <w:rsid w:val="00257250"/>
    <w:rsid w:val="0025767B"/>
    <w:rsid w:val="00260017"/>
    <w:rsid w:val="00261258"/>
    <w:rsid w:val="00261C0D"/>
    <w:rsid w:val="00262272"/>
    <w:rsid w:val="00263C23"/>
    <w:rsid w:val="002653A1"/>
    <w:rsid w:val="002660CA"/>
    <w:rsid w:val="00267B21"/>
    <w:rsid w:val="0027055B"/>
    <w:rsid w:val="002705DA"/>
    <w:rsid w:val="002730D7"/>
    <w:rsid w:val="00274564"/>
    <w:rsid w:val="002745E3"/>
    <w:rsid w:val="0027672A"/>
    <w:rsid w:val="00277337"/>
    <w:rsid w:val="00277E8B"/>
    <w:rsid w:val="002829DD"/>
    <w:rsid w:val="00284CC2"/>
    <w:rsid w:val="002874AC"/>
    <w:rsid w:val="002877B9"/>
    <w:rsid w:val="00290971"/>
    <w:rsid w:val="0029183E"/>
    <w:rsid w:val="00291CC7"/>
    <w:rsid w:val="002946A3"/>
    <w:rsid w:val="00294EE8"/>
    <w:rsid w:val="0029600C"/>
    <w:rsid w:val="00296120"/>
    <w:rsid w:val="002970B2"/>
    <w:rsid w:val="002A381D"/>
    <w:rsid w:val="002A6846"/>
    <w:rsid w:val="002A7F54"/>
    <w:rsid w:val="002B2A67"/>
    <w:rsid w:val="002B3B57"/>
    <w:rsid w:val="002B4267"/>
    <w:rsid w:val="002B798D"/>
    <w:rsid w:val="002B7E98"/>
    <w:rsid w:val="002C18AE"/>
    <w:rsid w:val="002C24D7"/>
    <w:rsid w:val="002C2E9C"/>
    <w:rsid w:val="002C3F68"/>
    <w:rsid w:val="002C6CC4"/>
    <w:rsid w:val="002D0AAB"/>
    <w:rsid w:val="002D0BFE"/>
    <w:rsid w:val="002D179E"/>
    <w:rsid w:val="002D1BAB"/>
    <w:rsid w:val="002D2AC5"/>
    <w:rsid w:val="002D3E2C"/>
    <w:rsid w:val="002D4D2E"/>
    <w:rsid w:val="002D57B7"/>
    <w:rsid w:val="002D75B4"/>
    <w:rsid w:val="002D77C7"/>
    <w:rsid w:val="002D7DC1"/>
    <w:rsid w:val="002E42E0"/>
    <w:rsid w:val="002E4BEE"/>
    <w:rsid w:val="002E614F"/>
    <w:rsid w:val="002E7434"/>
    <w:rsid w:val="002F0AB3"/>
    <w:rsid w:val="002F7AF6"/>
    <w:rsid w:val="002F7D3C"/>
    <w:rsid w:val="002F7F3D"/>
    <w:rsid w:val="003013BD"/>
    <w:rsid w:val="00301FE7"/>
    <w:rsid w:val="003036DE"/>
    <w:rsid w:val="0030413D"/>
    <w:rsid w:val="003045C8"/>
    <w:rsid w:val="00306416"/>
    <w:rsid w:val="00306B3E"/>
    <w:rsid w:val="00306C56"/>
    <w:rsid w:val="00307EA2"/>
    <w:rsid w:val="003100ED"/>
    <w:rsid w:val="00311691"/>
    <w:rsid w:val="003117ED"/>
    <w:rsid w:val="00312BCC"/>
    <w:rsid w:val="00314686"/>
    <w:rsid w:val="003152F5"/>
    <w:rsid w:val="003155E9"/>
    <w:rsid w:val="00316CB6"/>
    <w:rsid w:val="003178D0"/>
    <w:rsid w:val="00321E4D"/>
    <w:rsid w:val="00322410"/>
    <w:rsid w:val="00323017"/>
    <w:rsid w:val="003233C1"/>
    <w:rsid w:val="00325320"/>
    <w:rsid w:val="003257F8"/>
    <w:rsid w:val="00325BFC"/>
    <w:rsid w:val="0032626F"/>
    <w:rsid w:val="0033134D"/>
    <w:rsid w:val="003318BD"/>
    <w:rsid w:val="00332180"/>
    <w:rsid w:val="00335439"/>
    <w:rsid w:val="00337702"/>
    <w:rsid w:val="00337D41"/>
    <w:rsid w:val="00342325"/>
    <w:rsid w:val="00344AAE"/>
    <w:rsid w:val="00345DF1"/>
    <w:rsid w:val="0034736E"/>
    <w:rsid w:val="003506A7"/>
    <w:rsid w:val="00355A4E"/>
    <w:rsid w:val="0035603F"/>
    <w:rsid w:val="00356A1E"/>
    <w:rsid w:val="00357B17"/>
    <w:rsid w:val="00357EF8"/>
    <w:rsid w:val="00357F81"/>
    <w:rsid w:val="0036382D"/>
    <w:rsid w:val="00363D62"/>
    <w:rsid w:val="00370883"/>
    <w:rsid w:val="00371071"/>
    <w:rsid w:val="003733A4"/>
    <w:rsid w:val="003738B2"/>
    <w:rsid w:val="00374AB5"/>
    <w:rsid w:val="003753E5"/>
    <w:rsid w:val="0037566E"/>
    <w:rsid w:val="00375914"/>
    <w:rsid w:val="003766C4"/>
    <w:rsid w:val="003815FA"/>
    <w:rsid w:val="00381919"/>
    <w:rsid w:val="00382681"/>
    <w:rsid w:val="0038321A"/>
    <w:rsid w:val="0038465F"/>
    <w:rsid w:val="00384BE3"/>
    <w:rsid w:val="003851A5"/>
    <w:rsid w:val="003854EB"/>
    <w:rsid w:val="00386CD0"/>
    <w:rsid w:val="00386DF2"/>
    <w:rsid w:val="00390032"/>
    <w:rsid w:val="003903CD"/>
    <w:rsid w:val="00390AE9"/>
    <w:rsid w:val="00391093"/>
    <w:rsid w:val="00391AEE"/>
    <w:rsid w:val="00392D46"/>
    <w:rsid w:val="00393151"/>
    <w:rsid w:val="003931D2"/>
    <w:rsid w:val="0039390B"/>
    <w:rsid w:val="00393D39"/>
    <w:rsid w:val="003945D8"/>
    <w:rsid w:val="003975D5"/>
    <w:rsid w:val="003A06D0"/>
    <w:rsid w:val="003A1627"/>
    <w:rsid w:val="003A1EC2"/>
    <w:rsid w:val="003A22DA"/>
    <w:rsid w:val="003A536F"/>
    <w:rsid w:val="003A6F20"/>
    <w:rsid w:val="003B18D5"/>
    <w:rsid w:val="003B26FA"/>
    <w:rsid w:val="003B273A"/>
    <w:rsid w:val="003B38F2"/>
    <w:rsid w:val="003B59FA"/>
    <w:rsid w:val="003B7921"/>
    <w:rsid w:val="003C13C3"/>
    <w:rsid w:val="003C3AD8"/>
    <w:rsid w:val="003C4A04"/>
    <w:rsid w:val="003D100E"/>
    <w:rsid w:val="003D1409"/>
    <w:rsid w:val="003D166B"/>
    <w:rsid w:val="003D2C4E"/>
    <w:rsid w:val="003D49AA"/>
    <w:rsid w:val="003D5B05"/>
    <w:rsid w:val="003D7F42"/>
    <w:rsid w:val="003E03FD"/>
    <w:rsid w:val="003E5359"/>
    <w:rsid w:val="003F2009"/>
    <w:rsid w:val="003F2E64"/>
    <w:rsid w:val="003F4301"/>
    <w:rsid w:val="003F46BA"/>
    <w:rsid w:val="003F4AEE"/>
    <w:rsid w:val="003F4B5F"/>
    <w:rsid w:val="003F77F2"/>
    <w:rsid w:val="004006AE"/>
    <w:rsid w:val="00402EF8"/>
    <w:rsid w:val="0040332B"/>
    <w:rsid w:val="00404E01"/>
    <w:rsid w:val="00404E9E"/>
    <w:rsid w:val="00410DFC"/>
    <w:rsid w:val="00411D12"/>
    <w:rsid w:val="004200C2"/>
    <w:rsid w:val="004206B1"/>
    <w:rsid w:val="0042327E"/>
    <w:rsid w:val="00424789"/>
    <w:rsid w:val="004269B3"/>
    <w:rsid w:val="00427588"/>
    <w:rsid w:val="004278B9"/>
    <w:rsid w:val="00430086"/>
    <w:rsid w:val="004322D4"/>
    <w:rsid w:val="00432327"/>
    <w:rsid w:val="004337FB"/>
    <w:rsid w:val="00435DD6"/>
    <w:rsid w:val="00436868"/>
    <w:rsid w:val="00436C3A"/>
    <w:rsid w:val="00440E95"/>
    <w:rsid w:val="00440EFA"/>
    <w:rsid w:val="00440F3F"/>
    <w:rsid w:val="00440FFC"/>
    <w:rsid w:val="004411D9"/>
    <w:rsid w:val="00442240"/>
    <w:rsid w:val="00442A02"/>
    <w:rsid w:val="00442F43"/>
    <w:rsid w:val="00443D6D"/>
    <w:rsid w:val="004444A6"/>
    <w:rsid w:val="0044472E"/>
    <w:rsid w:val="00445ED6"/>
    <w:rsid w:val="004529A2"/>
    <w:rsid w:val="00454132"/>
    <w:rsid w:val="004545D0"/>
    <w:rsid w:val="00454691"/>
    <w:rsid w:val="0045487E"/>
    <w:rsid w:val="0045492D"/>
    <w:rsid w:val="004560CA"/>
    <w:rsid w:val="004566B6"/>
    <w:rsid w:val="00456BE7"/>
    <w:rsid w:val="004571BB"/>
    <w:rsid w:val="00457543"/>
    <w:rsid w:val="00460183"/>
    <w:rsid w:val="00463EC4"/>
    <w:rsid w:val="00467300"/>
    <w:rsid w:val="004678A8"/>
    <w:rsid w:val="0047041B"/>
    <w:rsid w:val="004713BD"/>
    <w:rsid w:val="0047146B"/>
    <w:rsid w:val="00471BDE"/>
    <w:rsid w:val="00474271"/>
    <w:rsid w:val="00474B01"/>
    <w:rsid w:val="0047601D"/>
    <w:rsid w:val="00476A72"/>
    <w:rsid w:val="004821D8"/>
    <w:rsid w:val="00486503"/>
    <w:rsid w:val="00486A00"/>
    <w:rsid w:val="004900B4"/>
    <w:rsid w:val="0049053E"/>
    <w:rsid w:val="00491721"/>
    <w:rsid w:val="004918A6"/>
    <w:rsid w:val="00492767"/>
    <w:rsid w:val="00492F36"/>
    <w:rsid w:val="00493278"/>
    <w:rsid w:val="0049409E"/>
    <w:rsid w:val="004A0035"/>
    <w:rsid w:val="004A7C0A"/>
    <w:rsid w:val="004B021B"/>
    <w:rsid w:val="004B0AE6"/>
    <w:rsid w:val="004B318B"/>
    <w:rsid w:val="004B538E"/>
    <w:rsid w:val="004B5E99"/>
    <w:rsid w:val="004C20FC"/>
    <w:rsid w:val="004C459C"/>
    <w:rsid w:val="004C6557"/>
    <w:rsid w:val="004C67C4"/>
    <w:rsid w:val="004D26A7"/>
    <w:rsid w:val="004D2B78"/>
    <w:rsid w:val="004D2DB8"/>
    <w:rsid w:val="004D3D4A"/>
    <w:rsid w:val="004D46FD"/>
    <w:rsid w:val="004D5B01"/>
    <w:rsid w:val="004D7236"/>
    <w:rsid w:val="004E0E62"/>
    <w:rsid w:val="004E19AC"/>
    <w:rsid w:val="004E1CF4"/>
    <w:rsid w:val="004E23E0"/>
    <w:rsid w:val="004E7674"/>
    <w:rsid w:val="004F0A3C"/>
    <w:rsid w:val="004F15F0"/>
    <w:rsid w:val="004F1F71"/>
    <w:rsid w:val="004F3E94"/>
    <w:rsid w:val="004F6825"/>
    <w:rsid w:val="004F6BE2"/>
    <w:rsid w:val="004F7D99"/>
    <w:rsid w:val="004F7DBE"/>
    <w:rsid w:val="004F7E4A"/>
    <w:rsid w:val="005004B3"/>
    <w:rsid w:val="00504A34"/>
    <w:rsid w:val="00505890"/>
    <w:rsid w:val="00505D9D"/>
    <w:rsid w:val="00507E50"/>
    <w:rsid w:val="005113EE"/>
    <w:rsid w:val="0051215E"/>
    <w:rsid w:val="0051236A"/>
    <w:rsid w:val="00513567"/>
    <w:rsid w:val="00517AE1"/>
    <w:rsid w:val="00517F82"/>
    <w:rsid w:val="005220A8"/>
    <w:rsid w:val="0053141E"/>
    <w:rsid w:val="0053420E"/>
    <w:rsid w:val="005353BB"/>
    <w:rsid w:val="00535B18"/>
    <w:rsid w:val="0053692C"/>
    <w:rsid w:val="005370BE"/>
    <w:rsid w:val="00542134"/>
    <w:rsid w:val="005424FC"/>
    <w:rsid w:val="005446F1"/>
    <w:rsid w:val="00545327"/>
    <w:rsid w:val="005500B8"/>
    <w:rsid w:val="005501C6"/>
    <w:rsid w:val="0055097A"/>
    <w:rsid w:val="0055134F"/>
    <w:rsid w:val="00552044"/>
    <w:rsid w:val="0055455C"/>
    <w:rsid w:val="00555125"/>
    <w:rsid w:val="005555BF"/>
    <w:rsid w:val="0055591B"/>
    <w:rsid w:val="0055738E"/>
    <w:rsid w:val="0055755A"/>
    <w:rsid w:val="00557C07"/>
    <w:rsid w:val="005607CD"/>
    <w:rsid w:val="005619D9"/>
    <w:rsid w:val="00563DDC"/>
    <w:rsid w:val="00564616"/>
    <w:rsid w:val="00570F19"/>
    <w:rsid w:val="005732E2"/>
    <w:rsid w:val="0057495F"/>
    <w:rsid w:val="00574C33"/>
    <w:rsid w:val="00576FFD"/>
    <w:rsid w:val="005773CA"/>
    <w:rsid w:val="00580AB7"/>
    <w:rsid w:val="005819FA"/>
    <w:rsid w:val="005839D8"/>
    <w:rsid w:val="00585CED"/>
    <w:rsid w:val="00590F17"/>
    <w:rsid w:val="0059227F"/>
    <w:rsid w:val="00592ED7"/>
    <w:rsid w:val="00593128"/>
    <w:rsid w:val="00593A58"/>
    <w:rsid w:val="00593B1A"/>
    <w:rsid w:val="00594F84"/>
    <w:rsid w:val="005950F9"/>
    <w:rsid w:val="005974D4"/>
    <w:rsid w:val="005A45BB"/>
    <w:rsid w:val="005A66BB"/>
    <w:rsid w:val="005A6D3E"/>
    <w:rsid w:val="005A7BCC"/>
    <w:rsid w:val="005B06C9"/>
    <w:rsid w:val="005B0E8D"/>
    <w:rsid w:val="005B2234"/>
    <w:rsid w:val="005B473A"/>
    <w:rsid w:val="005B5339"/>
    <w:rsid w:val="005B5BC2"/>
    <w:rsid w:val="005B5F73"/>
    <w:rsid w:val="005B72EC"/>
    <w:rsid w:val="005C102C"/>
    <w:rsid w:val="005C1B96"/>
    <w:rsid w:val="005C339A"/>
    <w:rsid w:val="005C4E8B"/>
    <w:rsid w:val="005C5F55"/>
    <w:rsid w:val="005C6F2C"/>
    <w:rsid w:val="005D1015"/>
    <w:rsid w:val="005D454A"/>
    <w:rsid w:val="005D4A3A"/>
    <w:rsid w:val="005D5560"/>
    <w:rsid w:val="005D603D"/>
    <w:rsid w:val="005D6357"/>
    <w:rsid w:val="005E1BC0"/>
    <w:rsid w:val="005E41CD"/>
    <w:rsid w:val="005E4B39"/>
    <w:rsid w:val="005E5958"/>
    <w:rsid w:val="005F0B6C"/>
    <w:rsid w:val="005F2D90"/>
    <w:rsid w:val="00601F35"/>
    <w:rsid w:val="00601F72"/>
    <w:rsid w:val="00602068"/>
    <w:rsid w:val="00604012"/>
    <w:rsid w:val="00604E1D"/>
    <w:rsid w:val="00605022"/>
    <w:rsid w:val="00605AD6"/>
    <w:rsid w:val="006062F1"/>
    <w:rsid w:val="0060631D"/>
    <w:rsid w:val="006068E0"/>
    <w:rsid w:val="00610D97"/>
    <w:rsid w:val="0061131B"/>
    <w:rsid w:val="006134BB"/>
    <w:rsid w:val="00614741"/>
    <w:rsid w:val="00614CCB"/>
    <w:rsid w:val="00615EA3"/>
    <w:rsid w:val="006164B6"/>
    <w:rsid w:val="006165F0"/>
    <w:rsid w:val="006176E8"/>
    <w:rsid w:val="00617FB2"/>
    <w:rsid w:val="00620E70"/>
    <w:rsid w:val="00621736"/>
    <w:rsid w:val="00621C32"/>
    <w:rsid w:val="00624B4F"/>
    <w:rsid w:val="006252A8"/>
    <w:rsid w:val="006259E4"/>
    <w:rsid w:val="00631432"/>
    <w:rsid w:val="006336EC"/>
    <w:rsid w:val="00636028"/>
    <w:rsid w:val="00636067"/>
    <w:rsid w:val="00637555"/>
    <w:rsid w:val="00640690"/>
    <w:rsid w:val="00643D5F"/>
    <w:rsid w:val="006453FE"/>
    <w:rsid w:val="00645F4A"/>
    <w:rsid w:val="00647B0E"/>
    <w:rsid w:val="0065036A"/>
    <w:rsid w:val="006515B4"/>
    <w:rsid w:val="00653851"/>
    <w:rsid w:val="0065449F"/>
    <w:rsid w:val="00655151"/>
    <w:rsid w:val="00656657"/>
    <w:rsid w:val="00656F96"/>
    <w:rsid w:val="00664196"/>
    <w:rsid w:val="00664B94"/>
    <w:rsid w:val="00664BE1"/>
    <w:rsid w:val="00667F15"/>
    <w:rsid w:val="006719BF"/>
    <w:rsid w:val="0067350A"/>
    <w:rsid w:val="006743AF"/>
    <w:rsid w:val="00674AD4"/>
    <w:rsid w:val="006770EC"/>
    <w:rsid w:val="0067717E"/>
    <w:rsid w:val="00677803"/>
    <w:rsid w:val="00680989"/>
    <w:rsid w:val="00680BE3"/>
    <w:rsid w:val="00683A3B"/>
    <w:rsid w:val="00683AF0"/>
    <w:rsid w:val="00685709"/>
    <w:rsid w:val="0068587B"/>
    <w:rsid w:val="00687D8A"/>
    <w:rsid w:val="00692227"/>
    <w:rsid w:val="00692B04"/>
    <w:rsid w:val="00692E0D"/>
    <w:rsid w:val="006943B4"/>
    <w:rsid w:val="00697A15"/>
    <w:rsid w:val="00697AAB"/>
    <w:rsid w:val="006A08F5"/>
    <w:rsid w:val="006A0C9B"/>
    <w:rsid w:val="006A0EA2"/>
    <w:rsid w:val="006A1519"/>
    <w:rsid w:val="006A1608"/>
    <w:rsid w:val="006A18EE"/>
    <w:rsid w:val="006A5C58"/>
    <w:rsid w:val="006A6526"/>
    <w:rsid w:val="006A668B"/>
    <w:rsid w:val="006A6FA1"/>
    <w:rsid w:val="006A7993"/>
    <w:rsid w:val="006B1C42"/>
    <w:rsid w:val="006B1F5A"/>
    <w:rsid w:val="006B2802"/>
    <w:rsid w:val="006B4064"/>
    <w:rsid w:val="006B4DD1"/>
    <w:rsid w:val="006B5322"/>
    <w:rsid w:val="006B53B4"/>
    <w:rsid w:val="006B548F"/>
    <w:rsid w:val="006B5E32"/>
    <w:rsid w:val="006B5E5F"/>
    <w:rsid w:val="006B6432"/>
    <w:rsid w:val="006C2ED8"/>
    <w:rsid w:val="006C7545"/>
    <w:rsid w:val="006C7F67"/>
    <w:rsid w:val="006D1027"/>
    <w:rsid w:val="006D108B"/>
    <w:rsid w:val="006D1D30"/>
    <w:rsid w:val="006D3570"/>
    <w:rsid w:val="006D516E"/>
    <w:rsid w:val="006D54C4"/>
    <w:rsid w:val="006D65E8"/>
    <w:rsid w:val="006D7AD9"/>
    <w:rsid w:val="006E0939"/>
    <w:rsid w:val="006E2A25"/>
    <w:rsid w:val="006E6186"/>
    <w:rsid w:val="006F3D09"/>
    <w:rsid w:val="006F6420"/>
    <w:rsid w:val="006F7892"/>
    <w:rsid w:val="007000CE"/>
    <w:rsid w:val="00700C8E"/>
    <w:rsid w:val="007016D6"/>
    <w:rsid w:val="007017D7"/>
    <w:rsid w:val="00701A0A"/>
    <w:rsid w:val="00702830"/>
    <w:rsid w:val="007031AC"/>
    <w:rsid w:val="00705255"/>
    <w:rsid w:val="00705682"/>
    <w:rsid w:val="00710FC1"/>
    <w:rsid w:val="0071165D"/>
    <w:rsid w:val="00711FFF"/>
    <w:rsid w:val="00716600"/>
    <w:rsid w:val="007205EA"/>
    <w:rsid w:val="0072100F"/>
    <w:rsid w:val="00722BD2"/>
    <w:rsid w:val="00724136"/>
    <w:rsid w:val="00733118"/>
    <w:rsid w:val="00735924"/>
    <w:rsid w:val="00735B10"/>
    <w:rsid w:val="00736CE7"/>
    <w:rsid w:val="00737665"/>
    <w:rsid w:val="007404EF"/>
    <w:rsid w:val="00740911"/>
    <w:rsid w:val="007418AB"/>
    <w:rsid w:val="00741C6C"/>
    <w:rsid w:val="007436CE"/>
    <w:rsid w:val="007441BE"/>
    <w:rsid w:val="00745692"/>
    <w:rsid w:val="00745D7D"/>
    <w:rsid w:val="00747AF8"/>
    <w:rsid w:val="00750A6B"/>
    <w:rsid w:val="00750AC5"/>
    <w:rsid w:val="00750CF9"/>
    <w:rsid w:val="00751C62"/>
    <w:rsid w:val="00751D0C"/>
    <w:rsid w:val="00752897"/>
    <w:rsid w:val="00754D99"/>
    <w:rsid w:val="007574EB"/>
    <w:rsid w:val="00760F61"/>
    <w:rsid w:val="00761649"/>
    <w:rsid w:val="00761B1E"/>
    <w:rsid w:val="007629F1"/>
    <w:rsid w:val="007638C2"/>
    <w:rsid w:val="007644C5"/>
    <w:rsid w:val="007645D8"/>
    <w:rsid w:val="00770F93"/>
    <w:rsid w:val="00772122"/>
    <w:rsid w:val="007756DF"/>
    <w:rsid w:val="007765BC"/>
    <w:rsid w:val="0078088F"/>
    <w:rsid w:val="007817D5"/>
    <w:rsid w:val="00781BD3"/>
    <w:rsid w:val="0078206E"/>
    <w:rsid w:val="00784D85"/>
    <w:rsid w:val="00786E90"/>
    <w:rsid w:val="007914BB"/>
    <w:rsid w:val="00792491"/>
    <w:rsid w:val="0079466C"/>
    <w:rsid w:val="00796A57"/>
    <w:rsid w:val="007A31D0"/>
    <w:rsid w:val="007A3315"/>
    <w:rsid w:val="007A48B9"/>
    <w:rsid w:val="007A59F3"/>
    <w:rsid w:val="007A671E"/>
    <w:rsid w:val="007A6DDE"/>
    <w:rsid w:val="007B0DC9"/>
    <w:rsid w:val="007B1658"/>
    <w:rsid w:val="007B1ECE"/>
    <w:rsid w:val="007B2499"/>
    <w:rsid w:val="007B3C62"/>
    <w:rsid w:val="007B58A0"/>
    <w:rsid w:val="007C0FA8"/>
    <w:rsid w:val="007C6848"/>
    <w:rsid w:val="007C77BE"/>
    <w:rsid w:val="007D1049"/>
    <w:rsid w:val="007D466D"/>
    <w:rsid w:val="007D4E1E"/>
    <w:rsid w:val="007D661A"/>
    <w:rsid w:val="007D782E"/>
    <w:rsid w:val="007E049A"/>
    <w:rsid w:val="007E0842"/>
    <w:rsid w:val="007E0A1C"/>
    <w:rsid w:val="007E1474"/>
    <w:rsid w:val="007E1588"/>
    <w:rsid w:val="007E47CF"/>
    <w:rsid w:val="007E4BEF"/>
    <w:rsid w:val="007E5451"/>
    <w:rsid w:val="007F0817"/>
    <w:rsid w:val="007F22DB"/>
    <w:rsid w:val="007F5628"/>
    <w:rsid w:val="008012F3"/>
    <w:rsid w:val="00803513"/>
    <w:rsid w:val="00803F1E"/>
    <w:rsid w:val="0080478D"/>
    <w:rsid w:val="00806C29"/>
    <w:rsid w:val="00807423"/>
    <w:rsid w:val="00810A5A"/>
    <w:rsid w:val="0081118B"/>
    <w:rsid w:val="00811F1C"/>
    <w:rsid w:val="00813C27"/>
    <w:rsid w:val="00815D67"/>
    <w:rsid w:val="0081754C"/>
    <w:rsid w:val="008219BE"/>
    <w:rsid w:val="00821E82"/>
    <w:rsid w:val="00821EFC"/>
    <w:rsid w:val="0082252A"/>
    <w:rsid w:val="008245C7"/>
    <w:rsid w:val="00824604"/>
    <w:rsid w:val="00827323"/>
    <w:rsid w:val="00830C0F"/>
    <w:rsid w:val="00833248"/>
    <w:rsid w:val="00833CC1"/>
    <w:rsid w:val="0083601F"/>
    <w:rsid w:val="00841E78"/>
    <w:rsid w:val="00843D2F"/>
    <w:rsid w:val="00844AED"/>
    <w:rsid w:val="008450FF"/>
    <w:rsid w:val="00847755"/>
    <w:rsid w:val="00852B33"/>
    <w:rsid w:val="00853020"/>
    <w:rsid w:val="008567DE"/>
    <w:rsid w:val="00856A10"/>
    <w:rsid w:val="00860368"/>
    <w:rsid w:val="00860C9D"/>
    <w:rsid w:val="008613DE"/>
    <w:rsid w:val="00862208"/>
    <w:rsid w:val="008629AB"/>
    <w:rsid w:val="00862FCF"/>
    <w:rsid w:val="00862FD2"/>
    <w:rsid w:val="00864EF4"/>
    <w:rsid w:val="00865FAB"/>
    <w:rsid w:val="00866281"/>
    <w:rsid w:val="008672D5"/>
    <w:rsid w:val="00870233"/>
    <w:rsid w:val="008717D7"/>
    <w:rsid w:val="00875DDD"/>
    <w:rsid w:val="00876119"/>
    <w:rsid w:val="008773AB"/>
    <w:rsid w:val="00880955"/>
    <w:rsid w:val="00880BD6"/>
    <w:rsid w:val="00880DA0"/>
    <w:rsid w:val="00881C69"/>
    <w:rsid w:val="008820AA"/>
    <w:rsid w:val="00882D62"/>
    <w:rsid w:val="0088387B"/>
    <w:rsid w:val="00883E35"/>
    <w:rsid w:val="00884D89"/>
    <w:rsid w:val="00885C93"/>
    <w:rsid w:val="00886D10"/>
    <w:rsid w:val="00886FAC"/>
    <w:rsid w:val="00887DCC"/>
    <w:rsid w:val="008914E5"/>
    <w:rsid w:val="00891A23"/>
    <w:rsid w:val="00892BC3"/>
    <w:rsid w:val="00892D56"/>
    <w:rsid w:val="00895438"/>
    <w:rsid w:val="00895A5D"/>
    <w:rsid w:val="00896844"/>
    <w:rsid w:val="008A0A46"/>
    <w:rsid w:val="008A0B0D"/>
    <w:rsid w:val="008A16CD"/>
    <w:rsid w:val="008A323F"/>
    <w:rsid w:val="008A40FE"/>
    <w:rsid w:val="008A52EC"/>
    <w:rsid w:val="008A6191"/>
    <w:rsid w:val="008A76A7"/>
    <w:rsid w:val="008A7AE6"/>
    <w:rsid w:val="008B08AF"/>
    <w:rsid w:val="008B111F"/>
    <w:rsid w:val="008B37D0"/>
    <w:rsid w:val="008B3B05"/>
    <w:rsid w:val="008B6505"/>
    <w:rsid w:val="008B7518"/>
    <w:rsid w:val="008B75AA"/>
    <w:rsid w:val="008C00D2"/>
    <w:rsid w:val="008C2D32"/>
    <w:rsid w:val="008C5079"/>
    <w:rsid w:val="008C5992"/>
    <w:rsid w:val="008C62F2"/>
    <w:rsid w:val="008D1932"/>
    <w:rsid w:val="008D3D08"/>
    <w:rsid w:val="008D5049"/>
    <w:rsid w:val="008D5BED"/>
    <w:rsid w:val="008D7B01"/>
    <w:rsid w:val="008E018B"/>
    <w:rsid w:val="008E06F1"/>
    <w:rsid w:val="008E076D"/>
    <w:rsid w:val="008E20A4"/>
    <w:rsid w:val="008E41F1"/>
    <w:rsid w:val="008E780B"/>
    <w:rsid w:val="008F0810"/>
    <w:rsid w:val="008F14BC"/>
    <w:rsid w:val="008F1BF8"/>
    <w:rsid w:val="008F264C"/>
    <w:rsid w:val="008F5D64"/>
    <w:rsid w:val="008F61D6"/>
    <w:rsid w:val="008F6383"/>
    <w:rsid w:val="008F7958"/>
    <w:rsid w:val="0090198A"/>
    <w:rsid w:val="00904356"/>
    <w:rsid w:val="009045FE"/>
    <w:rsid w:val="00905058"/>
    <w:rsid w:val="00905347"/>
    <w:rsid w:val="0091051C"/>
    <w:rsid w:val="00912B3B"/>
    <w:rsid w:val="009132F1"/>
    <w:rsid w:val="00913866"/>
    <w:rsid w:val="00913D7F"/>
    <w:rsid w:val="009140A8"/>
    <w:rsid w:val="00914B41"/>
    <w:rsid w:val="009210A5"/>
    <w:rsid w:val="00921FDD"/>
    <w:rsid w:val="00922F18"/>
    <w:rsid w:val="0092326F"/>
    <w:rsid w:val="00923816"/>
    <w:rsid w:val="009238C5"/>
    <w:rsid w:val="00923A77"/>
    <w:rsid w:val="00924914"/>
    <w:rsid w:val="0092662C"/>
    <w:rsid w:val="009269E8"/>
    <w:rsid w:val="00926B34"/>
    <w:rsid w:val="0093069D"/>
    <w:rsid w:val="0093111F"/>
    <w:rsid w:val="00934220"/>
    <w:rsid w:val="0093640D"/>
    <w:rsid w:val="00937C30"/>
    <w:rsid w:val="00940452"/>
    <w:rsid w:val="009409BA"/>
    <w:rsid w:val="00940A3C"/>
    <w:rsid w:val="00942AED"/>
    <w:rsid w:val="0094504C"/>
    <w:rsid w:val="009475DB"/>
    <w:rsid w:val="009478E1"/>
    <w:rsid w:val="00947ED5"/>
    <w:rsid w:val="009519A2"/>
    <w:rsid w:val="009570EA"/>
    <w:rsid w:val="00960144"/>
    <w:rsid w:val="00960D67"/>
    <w:rsid w:val="00961931"/>
    <w:rsid w:val="009626DD"/>
    <w:rsid w:val="0096601C"/>
    <w:rsid w:val="00966BDD"/>
    <w:rsid w:val="00970155"/>
    <w:rsid w:val="009719BA"/>
    <w:rsid w:val="00971A85"/>
    <w:rsid w:val="009721BC"/>
    <w:rsid w:val="0097241A"/>
    <w:rsid w:val="00972596"/>
    <w:rsid w:val="00973AEB"/>
    <w:rsid w:val="00974FA2"/>
    <w:rsid w:val="0097503F"/>
    <w:rsid w:val="009760D4"/>
    <w:rsid w:val="00976AF9"/>
    <w:rsid w:val="00980D50"/>
    <w:rsid w:val="00980F4A"/>
    <w:rsid w:val="0098216B"/>
    <w:rsid w:val="00983972"/>
    <w:rsid w:val="009905BF"/>
    <w:rsid w:val="009928F0"/>
    <w:rsid w:val="009937CC"/>
    <w:rsid w:val="00994BCC"/>
    <w:rsid w:val="00994CBD"/>
    <w:rsid w:val="009A2DFB"/>
    <w:rsid w:val="009A58EE"/>
    <w:rsid w:val="009A7286"/>
    <w:rsid w:val="009A7B20"/>
    <w:rsid w:val="009B03AE"/>
    <w:rsid w:val="009B1495"/>
    <w:rsid w:val="009B386E"/>
    <w:rsid w:val="009B4DF9"/>
    <w:rsid w:val="009B6B04"/>
    <w:rsid w:val="009C0FD8"/>
    <w:rsid w:val="009C101D"/>
    <w:rsid w:val="009C1432"/>
    <w:rsid w:val="009C5E65"/>
    <w:rsid w:val="009C6DB7"/>
    <w:rsid w:val="009D15AC"/>
    <w:rsid w:val="009D1691"/>
    <w:rsid w:val="009D1B72"/>
    <w:rsid w:val="009D324D"/>
    <w:rsid w:val="009D457B"/>
    <w:rsid w:val="009D5292"/>
    <w:rsid w:val="009D76AD"/>
    <w:rsid w:val="009D7A74"/>
    <w:rsid w:val="009E3B0B"/>
    <w:rsid w:val="009E408D"/>
    <w:rsid w:val="009E40A7"/>
    <w:rsid w:val="009E76D2"/>
    <w:rsid w:val="009F0093"/>
    <w:rsid w:val="009F24CA"/>
    <w:rsid w:val="009F3006"/>
    <w:rsid w:val="009F4054"/>
    <w:rsid w:val="009F4B3E"/>
    <w:rsid w:val="009F699E"/>
    <w:rsid w:val="009F6D84"/>
    <w:rsid w:val="00A01053"/>
    <w:rsid w:val="00A025D2"/>
    <w:rsid w:val="00A0384B"/>
    <w:rsid w:val="00A04CE3"/>
    <w:rsid w:val="00A05CED"/>
    <w:rsid w:val="00A076F7"/>
    <w:rsid w:val="00A1119D"/>
    <w:rsid w:val="00A132D7"/>
    <w:rsid w:val="00A14356"/>
    <w:rsid w:val="00A1635A"/>
    <w:rsid w:val="00A1694B"/>
    <w:rsid w:val="00A206C6"/>
    <w:rsid w:val="00A24541"/>
    <w:rsid w:val="00A269D5"/>
    <w:rsid w:val="00A27D7C"/>
    <w:rsid w:val="00A33157"/>
    <w:rsid w:val="00A335C8"/>
    <w:rsid w:val="00A348BB"/>
    <w:rsid w:val="00A34FA1"/>
    <w:rsid w:val="00A37312"/>
    <w:rsid w:val="00A40A9E"/>
    <w:rsid w:val="00A42CD9"/>
    <w:rsid w:val="00A42E15"/>
    <w:rsid w:val="00A434E9"/>
    <w:rsid w:val="00A43F1A"/>
    <w:rsid w:val="00A47B60"/>
    <w:rsid w:val="00A50FCC"/>
    <w:rsid w:val="00A517AE"/>
    <w:rsid w:val="00A528FB"/>
    <w:rsid w:val="00A53270"/>
    <w:rsid w:val="00A53A01"/>
    <w:rsid w:val="00A553BF"/>
    <w:rsid w:val="00A5634C"/>
    <w:rsid w:val="00A5727B"/>
    <w:rsid w:val="00A60ADD"/>
    <w:rsid w:val="00A611F6"/>
    <w:rsid w:val="00A618FA"/>
    <w:rsid w:val="00A63CC4"/>
    <w:rsid w:val="00A72099"/>
    <w:rsid w:val="00A74E6A"/>
    <w:rsid w:val="00A75971"/>
    <w:rsid w:val="00A76CE9"/>
    <w:rsid w:val="00A8249C"/>
    <w:rsid w:val="00A83329"/>
    <w:rsid w:val="00A84C24"/>
    <w:rsid w:val="00A852F8"/>
    <w:rsid w:val="00A869BA"/>
    <w:rsid w:val="00A90710"/>
    <w:rsid w:val="00A92B5B"/>
    <w:rsid w:val="00A93D5A"/>
    <w:rsid w:val="00A94882"/>
    <w:rsid w:val="00A95E19"/>
    <w:rsid w:val="00A9774A"/>
    <w:rsid w:val="00AA1CD6"/>
    <w:rsid w:val="00AA1D94"/>
    <w:rsid w:val="00AA3F40"/>
    <w:rsid w:val="00AA523F"/>
    <w:rsid w:val="00AA73CC"/>
    <w:rsid w:val="00AA778F"/>
    <w:rsid w:val="00AA7E2C"/>
    <w:rsid w:val="00AB14A6"/>
    <w:rsid w:val="00AB3786"/>
    <w:rsid w:val="00AC30EC"/>
    <w:rsid w:val="00AC402D"/>
    <w:rsid w:val="00AC4CFD"/>
    <w:rsid w:val="00AC5441"/>
    <w:rsid w:val="00AC6E48"/>
    <w:rsid w:val="00AC73D9"/>
    <w:rsid w:val="00AD196F"/>
    <w:rsid w:val="00AD2795"/>
    <w:rsid w:val="00AD3C77"/>
    <w:rsid w:val="00AD7BAC"/>
    <w:rsid w:val="00AE1B0B"/>
    <w:rsid w:val="00AE3897"/>
    <w:rsid w:val="00AE5D52"/>
    <w:rsid w:val="00AE6112"/>
    <w:rsid w:val="00AE7F8D"/>
    <w:rsid w:val="00AF052D"/>
    <w:rsid w:val="00AF142E"/>
    <w:rsid w:val="00AF52DD"/>
    <w:rsid w:val="00AF5B9D"/>
    <w:rsid w:val="00AF6210"/>
    <w:rsid w:val="00AF62B0"/>
    <w:rsid w:val="00AF7935"/>
    <w:rsid w:val="00B03BB3"/>
    <w:rsid w:val="00B054B5"/>
    <w:rsid w:val="00B058A8"/>
    <w:rsid w:val="00B06A44"/>
    <w:rsid w:val="00B12D74"/>
    <w:rsid w:val="00B20479"/>
    <w:rsid w:val="00B205BA"/>
    <w:rsid w:val="00B21C08"/>
    <w:rsid w:val="00B221E9"/>
    <w:rsid w:val="00B2266D"/>
    <w:rsid w:val="00B2346D"/>
    <w:rsid w:val="00B24306"/>
    <w:rsid w:val="00B243A2"/>
    <w:rsid w:val="00B2713A"/>
    <w:rsid w:val="00B27466"/>
    <w:rsid w:val="00B27FE3"/>
    <w:rsid w:val="00B306C5"/>
    <w:rsid w:val="00B34FDF"/>
    <w:rsid w:val="00B35838"/>
    <w:rsid w:val="00B360A5"/>
    <w:rsid w:val="00B37A5B"/>
    <w:rsid w:val="00B4021A"/>
    <w:rsid w:val="00B40A0B"/>
    <w:rsid w:val="00B436AE"/>
    <w:rsid w:val="00B50841"/>
    <w:rsid w:val="00B50EB8"/>
    <w:rsid w:val="00B546CB"/>
    <w:rsid w:val="00B548BA"/>
    <w:rsid w:val="00B56690"/>
    <w:rsid w:val="00B6164D"/>
    <w:rsid w:val="00B62722"/>
    <w:rsid w:val="00B636CE"/>
    <w:rsid w:val="00B6480B"/>
    <w:rsid w:val="00B66FD8"/>
    <w:rsid w:val="00B67BA3"/>
    <w:rsid w:val="00B71FE3"/>
    <w:rsid w:val="00B7211A"/>
    <w:rsid w:val="00B73931"/>
    <w:rsid w:val="00B74C8E"/>
    <w:rsid w:val="00B752A4"/>
    <w:rsid w:val="00B7569D"/>
    <w:rsid w:val="00B805A3"/>
    <w:rsid w:val="00B80627"/>
    <w:rsid w:val="00B81795"/>
    <w:rsid w:val="00B81B94"/>
    <w:rsid w:val="00B825B4"/>
    <w:rsid w:val="00B8349A"/>
    <w:rsid w:val="00B863B2"/>
    <w:rsid w:val="00B86DE6"/>
    <w:rsid w:val="00B86F81"/>
    <w:rsid w:val="00B86FFC"/>
    <w:rsid w:val="00B870C0"/>
    <w:rsid w:val="00B879D1"/>
    <w:rsid w:val="00B961D3"/>
    <w:rsid w:val="00B96AA8"/>
    <w:rsid w:val="00B9773A"/>
    <w:rsid w:val="00BA06E4"/>
    <w:rsid w:val="00BA0B09"/>
    <w:rsid w:val="00BA14CF"/>
    <w:rsid w:val="00BA1A9D"/>
    <w:rsid w:val="00BA38F1"/>
    <w:rsid w:val="00BA3BA4"/>
    <w:rsid w:val="00BA4A12"/>
    <w:rsid w:val="00BA5356"/>
    <w:rsid w:val="00BA6268"/>
    <w:rsid w:val="00BA69CB"/>
    <w:rsid w:val="00BB0BA1"/>
    <w:rsid w:val="00BB1428"/>
    <w:rsid w:val="00BB2A7E"/>
    <w:rsid w:val="00BB3955"/>
    <w:rsid w:val="00BB57D2"/>
    <w:rsid w:val="00BC01F5"/>
    <w:rsid w:val="00BC1588"/>
    <w:rsid w:val="00BC17BC"/>
    <w:rsid w:val="00BC2ECA"/>
    <w:rsid w:val="00BC66A5"/>
    <w:rsid w:val="00BC727F"/>
    <w:rsid w:val="00BD0D1F"/>
    <w:rsid w:val="00BD197D"/>
    <w:rsid w:val="00BD6BC7"/>
    <w:rsid w:val="00BD74FC"/>
    <w:rsid w:val="00BE11CF"/>
    <w:rsid w:val="00BE6090"/>
    <w:rsid w:val="00BE649D"/>
    <w:rsid w:val="00BE778C"/>
    <w:rsid w:val="00BE7E85"/>
    <w:rsid w:val="00BF056D"/>
    <w:rsid w:val="00BF0803"/>
    <w:rsid w:val="00BF10BD"/>
    <w:rsid w:val="00BF1D37"/>
    <w:rsid w:val="00BF221F"/>
    <w:rsid w:val="00BF3796"/>
    <w:rsid w:val="00BF49D0"/>
    <w:rsid w:val="00BF56AB"/>
    <w:rsid w:val="00BF5FC4"/>
    <w:rsid w:val="00BF6658"/>
    <w:rsid w:val="00C00756"/>
    <w:rsid w:val="00C03236"/>
    <w:rsid w:val="00C03D83"/>
    <w:rsid w:val="00C03EBD"/>
    <w:rsid w:val="00C0508B"/>
    <w:rsid w:val="00C0561C"/>
    <w:rsid w:val="00C05A82"/>
    <w:rsid w:val="00C06B82"/>
    <w:rsid w:val="00C10877"/>
    <w:rsid w:val="00C11C78"/>
    <w:rsid w:val="00C14E35"/>
    <w:rsid w:val="00C14EB5"/>
    <w:rsid w:val="00C16379"/>
    <w:rsid w:val="00C17BCF"/>
    <w:rsid w:val="00C20528"/>
    <w:rsid w:val="00C218DE"/>
    <w:rsid w:val="00C239E2"/>
    <w:rsid w:val="00C2411D"/>
    <w:rsid w:val="00C24671"/>
    <w:rsid w:val="00C24C80"/>
    <w:rsid w:val="00C257F6"/>
    <w:rsid w:val="00C2682D"/>
    <w:rsid w:val="00C40A0F"/>
    <w:rsid w:val="00C40A62"/>
    <w:rsid w:val="00C42221"/>
    <w:rsid w:val="00C43669"/>
    <w:rsid w:val="00C45AB1"/>
    <w:rsid w:val="00C512B4"/>
    <w:rsid w:val="00C517A5"/>
    <w:rsid w:val="00C52508"/>
    <w:rsid w:val="00C56E22"/>
    <w:rsid w:val="00C66387"/>
    <w:rsid w:val="00C678F8"/>
    <w:rsid w:val="00C67B28"/>
    <w:rsid w:val="00C7143C"/>
    <w:rsid w:val="00C749F6"/>
    <w:rsid w:val="00C758B4"/>
    <w:rsid w:val="00C76377"/>
    <w:rsid w:val="00C77E4A"/>
    <w:rsid w:val="00C77F97"/>
    <w:rsid w:val="00C81C11"/>
    <w:rsid w:val="00C820C2"/>
    <w:rsid w:val="00C83798"/>
    <w:rsid w:val="00C8442E"/>
    <w:rsid w:val="00C850AE"/>
    <w:rsid w:val="00C87F51"/>
    <w:rsid w:val="00C903FB"/>
    <w:rsid w:val="00C90A14"/>
    <w:rsid w:val="00C976AA"/>
    <w:rsid w:val="00CA2148"/>
    <w:rsid w:val="00CA4C0C"/>
    <w:rsid w:val="00CB401D"/>
    <w:rsid w:val="00CB4638"/>
    <w:rsid w:val="00CB7244"/>
    <w:rsid w:val="00CB7D9C"/>
    <w:rsid w:val="00CC3D70"/>
    <w:rsid w:val="00CC48D7"/>
    <w:rsid w:val="00CC5806"/>
    <w:rsid w:val="00CC5A20"/>
    <w:rsid w:val="00CC5AFF"/>
    <w:rsid w:val="00CC5E00"/>
    <w:rsid w:val="00CD1AFF"/>
    <w:rsid w:val="00CD3593"/>
    <w:rsid w:val="00CD37AE"/>
    <w:rsid w:val="00CD55C2"/>
    <w:rsid w:val="00CE0770"/>
    <w:rsid w:val="00CE1292"/>
    <w:rsid w:val="00CE2472"/>
    <w:rsid w:val="00CE49A8"/>
    <w:rsid w:val="00CF0522"/>
    <w:rsid w:val="00CF12AB"/>
    <w:rsid w:val="00CF1A18"/>
    <w:rsid w:val="00CF1EDA"/>
    <w:rsid w:val="00CF5C48"/>
    <w:rsid w:val="00CF78F4"/>
    <w:rsid w:val="00D01D1B"/>
    <w:rsid w:val="00D03155"/>
    <w:rsid w:val="00D043BB"/>
    <w:rsid w:val="00D04D37"/>
    <w:rsid w:val="00D05F54"/>
    <w:rsid w:val="00D065B5"/>
    <w:rsid w:val="00D06773"/>
    <w:rsid w:val="00D07AA9"/>
    <w:rsid w:val="00D07F05"/>
    <w:rsid w:val="00D10A28"/>
    <w:rsid w:val="00D11A13"/>
    <w:rsid w:val="00D1412F"/>
    <w:rsid w:val="00D15196"/>
    <w:rsid w:val="00D20EC5"/>
    <w:rsid w:val="00D22D0A"/>
    <w:rsid w:val="00D24165"/>
    <w:rsid w:val="00D24297"/>
    <w:rsid w:val="00D249AD"/>
    <w:rsid w:val="00D26F27"/>
    <w:rsid w:val="00D2717F"/>
    <w:rsid w:val="00D271CF"/>
    <w:rsid w:val="00D309D4"/>
    <w:rsid w:val="00D33F31"/>
    <w:rsid w:val="00D3659F"/>
    <w:rsid w:val="00D36B05"/>
    <w:rsid w:val="00D37534"/>
    <w:rsid w:val="00D3764E"/>
    <w:rsid w:val="00D406A6"/>
    <w:rsid w:val="00D40CA9"/>
    <w:rsid w:val="00D42B43"/>
    <w:rsid w:val="00D43F1C"/>
    <w:rsid w:val="00D444F0"/>
    <w:rsid w:val="00D46514"/>
    <w:rsid w:val="00D467E8"/>
    <w:rsid w:val="00D5052A"/>
    <w:rsid w:val="00D50E3D"/>
    <w:rsid w:val="00D510F0"/>
    <w:rsid w:val="00D520A1"/>
    <w:rsid w:val="00D53305"/>
    <w:rsid w:val="00D55909"/>
    <w:rsid w:val="00D5643E"/>
    <w:rsid w:val="00D56752"/>
    <w:rsid w:val="00D57BA9"/>
    <w:rsid w:val="00D608AC"/>
    <w:rsid w:val="00D60D21"/>
    <w:rsid w:val="00D60D22"/>
    <w:rsid w:val="00D624A9"/>
    <w:rsid w:val="00D64DEA"/>
    <w:rsid w:val="00D669E4"/>
    <w:rsid w:val="00D72250"/>
    <w:rsid w:val="00D7413B"/>
    <w:rsid w:val="00D74689"/>
    <w:rsid w:val="00D779B9"/>
    <w:rsid w:val="00D80441"/>
    <w:rsid w:val="00D80704"/>
    <w:rsid w:val="00D81CD8"/>
    <w:rsid w:val="00D8289A"/>
    <w:rsid w:val="00D82901"/>
    <w:rsid w:val="00D8670E"/>
    <w:rsid w:val="00D904AE"/>
    <w:rsid w:val="00D917C0"/>
    <w:rsid w:val="00D93F8D"/>
    <w:rsid w:val="00D94450"/>
    <w:rsid w:val="00D96C68"/>
    <w:rsid w:val="00DA0217"/>
    <w:rsid w:val="00DA6358"/>
    <w:rsid w:val="00DA660E"/>
    <w:rsid w:val="00DA7C4D"/>
    <w:rsid w:val="00DB01AF"/>
    <w:rsid w:val="00DB0E1C"/>
    <w:rsid w:val="00DB1427"/>
    <w:rsid w:val="00DB1DDE"/>
    <w:rsid w:val="00DB2AC8"/>
    <w:rsid w:val="00DB3E73"/>
    <w:rsid w:val="00DB3EA5"/>
    <w:rsid w:val="00DB3F84"/>
    <w:rsid w:val="00DB6DB8"/>
    <w:rsid w:val="00DC36CC"/>
    <w:rsid w:val="00DC5A1D"/>
    <w:rsid w:val="00DC679F"/>
    <w:rsid w:val="00DC7FC8"/>
    <w:rsid w:val="00DD13DC"/>
    <w:rsid w:val="00DD24C2"/>
    <w:rsid w:val="00DD29A5"/>
    <w:rsid w:val="00DD469C"/>
    <w:rsid w:val="00DD4F1F"/>
    <w:rsid w:val="00DD547E"/>
    <w:rsid w:val="00DE3FD1"/>
    <w:rsid w:val="00DE4D43"/>
    <w:rsid w:val="00DE4D9F"/>
    <w:rsid w:val="00DE59AC"/>
    <w:rsid w:val="00DE670D"/>
    <w:rsid w:val="00DF0067"/>
    <w:rsid w:val="00DF193F"/>
    <w:rsid w:val="00DF25AF"/>
    <w:rsid w:val="00DF31B5"/>
    <w:rsid w:val="00DF5637"/>
    <w:rsid w:val="00DF5DF4"/>
    <w:rsid w:val="00E00309"/>
    <w:rsid w:val="00E0261F"/>
    <w:rsid w:val="00E04AAB"/>
    <w:rsid w:val="00E0744E"/>
    <w:rsid w:val="00E106C9"/>
    <w:rsid w:val="00E12BB4"/>
    <w:rsid w:val="00E174ED"/>
    <w:rsid w:val="00E1754B"/>
    <w:rsid w:val="00E17660"/>
    <w:rsid w:val="00E22008"/>
    <w:rsid w:val="00E22D55"/>
    <w:rsid w:val="00E2434B"/>
    <w:rsid w:val="00E253E4"/>
    <w:rsid w:val="00E25917"/>
    <w:rsid w:val="00E2728E"/>
    <w:rsid w:val="00E3017E"/>
    <w:rsid w:val="00E32A99"/>
    <w:rsid w:val="00E3320F"/>
    <w:rsid w:val="00E33305"/>
    <w:rsid w:val="00E33BEA"/>
    <w:rsid w:val="00E35DFF"/>
    <w:rsid w:val="00E3720F"/>
    <w:rsid w:val="00E406B8"/>
    <w:rsid w:val="00E410FF"/>
    <w:rsid w:val="00E41F5D"/>
    <w:rsid w:val="00E44A3E"/>
    <w:rsid w:val="00E4692D"/>
    <w:rsid w:val="00E470AA"/>
    <w:rsid w:val="00E47193"/>
    <w:rsid w:val="00E5043B"/>
    <w:rsid w:val="00E5091B"/>
    <w:rsid w:val="00E51F0A"/>
    <w:rsid w:val="00E52A36"/>
    <w:rsid w:val="00E5331E"/>
    <w:rsid w:val="00E53356"/>
    <w:rsid w:val="00E55317"/>
    <w:rsid w:val="00E55C95"/>
    <w:rsid w:val="00E63EC5"/>
    <w:rsid w:val="00E64CA5"/>
    <w:rsid w:val="00E6591A"/>
    <w:rsid w:val="00E66AA6"/>
    <w:rsid w:val="00E70BA8"/>
    <w:rsid w:val="00E72F80"/>
    <w:rsid w:val="00E75678"/>
    <w:rsid w:val="00E7724B"/>
    <w:rsid w:val="00E77647"/>
    <w:rsid w:val="00E81D57"/>
    <w:rsid w:val="00E82CC9"/>
    <w:rsid w:val="00E84EB5"/>
    <w:rsid w:val="00E84F9A"/>
    <w:rsid w:val="00E87E79"/>
    <w:rsid w:val="00E91DA9"/>
    <w:rsid w:val="00E927B3"/>
    <w:rsid w:val="00E93B9A"/>
    <w:rsid w:val="00E952D1"/>
    <w:rsid w:val="00E95C2A"/>
    <w:rsid w:val="00E975A1"/>
    <w:rsid w:val="00EA0022"/>
    <w:rsid w:val="00EA0D44"/>
    <w:rsid w:val="00EA185B"/>
    <w:rsid w:val="00EA4CEA"/>
    <w:rsid w:val="00EA5A8B"/>
    <w:rsid w:val="00EA6BDD"/>
    <w:rsid w:val="00EB090D"/>
    <w:rsid w:val="00EB0BD0"/>
    <w:rsid w:val="00EB30F6"/>
    <w:rsid w:val="00EB34AE"/>
    <w:rsid w:val="00EB56D2"/>
    <w:rsid w:val="00EB6EB1"/>
    <w:rsid w:val="00EC0A50"/>
    <w:rsid w:val="00EC3D57"/>
    <w:rsid w:val="00EC3D9A"/>
    <w:rsid w:val="00EC4571"/>
    <w:rsid w:val="00EC5A31"/>
    <w:rsid w:val="00EC5EFD"/>
    <w:rsid w:val="00EC608A"/>
    <w:rsid w:val="00EC65B2"/>
    <w:rsid w:val="00ED01AA"/>
    <w:rsid w:val="00ED2FC6"/>
    <w:rsid w:val="00ED37B9"/>
    <w:rsid w:val="00ED48DB"/>
    <w:rsid w:val="00EE7F5E"/>
    <w:rsid w:val="00EF1348"/>
    <w:rsid w:val="00EF18F1"/>
    <w:rsid w:val="00EF5496"/>
    <w:rsid w:val="00EF5C56"/>
    <w:rsid w:val="00EF6957"/>
    <w:rsid w:val="00F007C8"/>
    <w:rsid w:val="00F01775"/>
    <w:rsid w:val="00F0554C"/>
    <w:rsid w:val="00F06C96"/>
    <w:rsid w:val="00F07CAD"/>
    <w:rsid w:val="00F21288"/>
    <w:rsid w:val="00F2774D"/>
    <w:rsid w:val="00F30388"/>
    <w:rsid w:val="00F30787"/>
    <w:rsid w:val="00F31C50"/>
    <w:rsid w:val="00F339AE"/>
    <w:rsid w:val="00F447D2"/>
    <w:rsid w:val="00F45C96"/>
    <w:rsid w:val="00F46538"/>
    <w:rsid w:val="00F46C74"/>
    <w:rsid w:val="00F51FAF"/>
    <w:rsid w:val="00F55A48"/>
    <w:rsid w:val="00F55BD3"/>
    <w:rsid w:val="00F5650F"/>
    <w:rsid w:val="00F600C9"/>
    <w:rsid w:val="00F61E13"/>
    <w:rsid w:val="00F64417"/>
    <w:rsid w:val="00F64D8F"/>
    <w:rsid w:val="00F659B7"/>
    <w:rsid w:val="00F667BF"/>
    <w:rsid w:val="00F67369"/>
    <w:rsid w:val="00F7592D"/>
    <w:rsid w:val="00F7796A"/>
    <w:rsid w:val="00F8018C"/>
    <w:rsid w:val="00F819AC"/>
    <w:rsid w:val="00F81E38"/>
    <w:rsid w:val="00F8307F"/>
    <w:rsid w:val="00F83E2F"/>
    <w:rsid w:val="00F84A27"/>
    <w:rsid w:val="00F864FD"/>
    <w:rsid w:val="00F916AA"/>
    <w:rsid w:val="00F925E9"/>
    <w:rsid w:val="00F9276C"/>
    <w:rsid w:val="00F92982"/>
    <w:rsid w:val="00F93C31"/>
    <w:rsid w:val="00F95495"/>
    <w:rsid w:val="00F97CBA"/>
    <w:rsid w:val="00FA01CA"/>
    <w:rsid w:val="00FA049F"/>
    <w:rsid w:val="00FA0700"/>
    <w:rsid w:val="00FA32FF"/>
    <w:rsid w:val="00FA3955"/>
    <w:rsid w:val="00FA5239"/>
    <w:rsid w:val="00FB032D"/>
    <w:rsid w:val="00FB29FC"/>
    <w:rsid w:val="00FB2AFD"/>
    <w:rsid w:val="00FB3DEB"/>
    <w:rsid w:val="00FB49C4"/>
    <w:rsid w:val="00FB54FE"/>
    <w:rsid w:val="00FB7105"/>
    <w:rsid w:val="00FC1DBB"/>
    <w:rsid w:val="00FC302C"/>
    <w:rsid w:val="00FC4007"/>
    <w:rsid w:val="00FC499A"/>
    <w:rsid w:val="00FC7C06"/>
    <w:rsid w:val="00FD10EE"/>
    <w:rsid w:val="00FD1178"/>
    <w:rsid w:val="00FD19D9"/>
    <w:rsid w:val="00FD1D5C"/>
    <w:rsid w:val="00FD216E"/>
    <w:rsid w:val="00FD45EF"/>
    <w:rsid w:val="00FD4D64"/>
    <w:rsid w:val="00FD5937"/>
    <w:rsid w:val="00FD5EDA"/>
    <w:rsid w:val="00FD6EC9"/>
    <w:rsid w:val="00FE1097"/>
    <w:rsid w:val="00FE20D6"/>
    <w:rsid w:val="00FE22DC"/>
    <w:rsid w:val="00FE26F2"/>
    <w:rsid w:val="00FE2866"/>
    <w:rsid w:val="00FE2F87"/>
    <w:rsid w:val="00FE326C"/>
    <w:rsid w:val="00FE3609"/>
    <w:rsid w:val="00FE3694"/>
    <w:rsid w:val="00FE370B"/>
    <w:rsid w:val="00FE7940"/>
    <w:rsid w:val="00FF0F30"/>
    <w:rsid w:val="00FF37E0"/>
    <w:rsid w:val="00FF3EE6"/>
    <w:rsid w:val="00FF45F9"/>
    <w:rsid w:val="00FF5F0D"/>
    <w:rsid w:val="00FF74D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358B44"/>
  <w15:docId w15:val="{2100DEEC-2AA2-4A73-8537-C6D6063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2774D"/>
    <w:pPr>
      <w:spacing w:line="360" w:lineRule="auto"/>
      <w:ind w:firstLine="720"/>
      <w:jc w:val="both"/>
    </w:pPr>
    <w:rPr>
      <w:rFonts w:ascii="Garamond" w:hAnsi="Garamond"/>
      <w:sz w:val="24"/>
      <w:lang w:eastAsia="en-US"/>
    </w:rPr>
  </w:style>
  <w:style w:type="paragraph" w:styleId="Heading1">
    <w:name w:val="heading 1"/>
    <w:basedOn w:val="Normal"/>
    <w:next w:val="Normal"/>
    <w:autoRedefine/>
    <w:qFormat/>
    <w:rsid w:val="00CC48D7"/>
    <w:pPr>
      <w:keepNext/>
      <w:keepLines/>
      <w:numPr>
        <w:numId w:val="5"/>
      </w:numPr>
      <w:tabs>
        <w:tab w:val="left" w:pos="0"/>
      </w:tabs>
      <w:suppressAutoHyphens/>
      <w:overflowPunct w:val="0"/>
      <w:autoSpaceDE w:val="0"/>
      <w:autoSpaceDN w:val="0"/>
      <w:adjustRightInd w:val="0"/>
      <w:spacing w:before="360" w:after="120" w:line="240" w:lineRule="auto"/>
      <w:textAlignment w:val="baseline"/>
      <w:outlineLvl w:val="0"/>
    </w:pPr>
    <w:rPr>
      <w:b/>
      <w:kern w:val="28"/>
      <w:sz w:val="32"/>
      <w:lang w:val="en-US"/>
    </w:rPr>
  </w:style>
  <w:style w:type="paragraph" w:styleId="Heading2">
    <w:name w:val="heading 2"/>
    <w:basedOn w:val="Heading1"/>
    <w:next w:val="Normal"/>
    <w:autoRedefine/>
    <w:qFormat/>
    <w:rsid w:val="006E2A25"/>
    <w:pPr>
      <w:numPr>
        <w:ilvl w:val="1"/>
      </w:numPr>
      <w:outlineLvl w:val="1"/>
    </w:pPr>
    <w:rPr>
      <w:i/>
      <w:kern w:val="0"/>
      <w:sz w:val="28"/>
      <w:lang w:eastAsia="nb-NO"/>
    </w:rPr>
  </w:style>
  <w:style w:type="paragraph" w:styleId="Heading3">
    <w:name w:val="heading 3"/>
    <w:basedOn w:val="Heading2"/>
    <w:next w:val="Normalstart"/>
    <w:qFormat/>
    <w:rsid w:val="006E2A25"/>
    <w:pPr>
      <w:tabs>
        <w:tab w:val="left" w:pos="1224"/>
      </w:tabs>
      <w:spacing w:before="240"/>
      <w:outlineLvl w:val="2"/>
    </w:pPr>
    <w:rPr>
      <w:i w:val="0"/>
      <w:iCs/>
      <w:sz w:val="22"/>
    </w:rPr>
  </w:style>
  <w:style w:type="paragraph" w:styleId="Heading4">
    <w:name w:val="heading 4"/>
    <w:basedOn w:val="Heading1"/>
    <w:next w:val="Normalstart"/>
    <w:qFormat/>
    <w:rsid w:val="009F3006"/>
    <w:pPr>
      <w:spacing w:before="240"/>
      <w:outlineLvl w:val="3"/>
    </w:pPr>
    <w:rPr>
      <w:b w:val="0"/>
      <w:i/>
      <w:iCs/>
      <w:kern w:val="0"/>
      <w:sz w:val="24"/>
    </w:rPr>
  </w:style>
  <w:style w:type="paragraph" w:styleId="Heading5">
    <w:name w:val="heading 5"/>
    <w:basedOn w:val="Normalstart"/>
    <w:next w:val="Normalstart"/>
    <w:qFormat/>
    <w:rsid w:val="00CC48D7"/>
    <w:pPr>
      <w:spacing w:before="360" w:after="100"/>
      <w:outlineLvl w:val="4"/>
    </w:pPr>
    <w:rPr>
      <w:b/>
      <w:sz w:val="44"/>
    </w:rPr>
  </w:style>
  <w:style w:type="paragraph" w:styleId="Heading6">
    <w:name w:val="heading 6"/>
    <w:basedOn w:val="Normal"/>
    <w:next w:val="Normal"/>
    <w:qFormat/>
    <w:rsid w:val="0047146B"/>
    <w:pPr>
      <w:keepNext/>
      <w:outlineLvl w:val="5"/>
    </w:pPr>
    <w:rPr>
      <w:b/>
    </w:rPr>
  </w:style>
  <w:style w:type="paragraph" w:styleId="Heading7">
    <w:name w:val="heading 7"/>
    <w:basedOn w:val="Normal"/>
    <w:next w:val="Normal"/>
    <w:qFormat/>
    <w:rsid w:val="009F3006"/>
    <w:pPr>
      <w:keepNext/>
      <w:outlineLvl w:val="6"/>
    </w:pPr>
  </w:style>
  <w:style w:type="paragraph" w:styleId="Heading8">
    <w:name w:val="heading 8"/>
    <w:basedOn w:val="Normal"/>
    <w:next w:val="Normal"/>
    <w:qFormat/>
    <w:rsid w:val="0047146B"/>
    <w:pPr>
      <w:spacing w:before="240" w:after="60"/>
      <w:outlineLvl w:val="7"/>
    </w:pPr>
    <w:rPr>
      <w:rFonts w:ascii="Arial" w:hAnsi="Arial"/>
      <w:i/>
    </w:rPr>
  </w:style>
  <w:style w:type="paragraph" w:styleId="Heading9">
    <w:name w:val="heading 9"/>
    <w:basedOn w:val="Normal"/>
    <w:next w:val="Normal"/>
    <w:qFormat/>
    <w:rsid w:val="0047146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art">
    <w:name w:val="Normal start"/>
    <w:basedOn w:val="Normal"/>
    <w:next w:val="Normal"/>
    <w:rsid w:val="0081754C"/>
    <w:pPr>
      <w:ind w:firstLine="0"/>
    </w:pPr>
  </w:style>
  <w:style w:type="paragraph" w:styleId="Caption">
    <w:name w:val="caption"/>
    <w:basedOn w:val="Normal"/>
    <w:next w:val="Normal"/>
    <w:qFormat/>
    <w:rsid w:val="0047146B"/>
    <w:pPr>
      <w:spacing w:before="120" w:after="120"/>
    </w:pPr>
    <w:rPr>
      <w:b/>
    </w:rPr>
  </w:style>
  <w:style w:type="character" w:styleId="FootnoteReference">
    <w:name w:val="footnote reference"/>
    <w:basedOn w:val="DefaultParagraphFont"/>
    <w:semiHidden/>
    <w:rsid w:val="0047146B"/>
    <w:rPr>
      <w:vertAlign w:val="superscript"/>
    </w:rPr>
  </w:style>
  <w:style w:type="paragraph" w:customStyle="1" w:styleId="Reference">
    <w:name w:val="Reference"/>
    <w:rsid w:val="0047146B"/>
    <w:pPr>
      <w:keepLines/>
      <w:suppressAutoHyphens/>
      <w:spacing w:after="240" w:line="360" w:lineRule="auto"/>
      <w:ind w:left="794" w:hanging="794"/>
    </w:pPr>
    <w:rPr>
      <w:noProof/>
      <w:lang w:val="en-GB" w:eastAsia="en-US"/>
    </w:rPr>
  </w:style>
  <w:style w:type="paragraph" w:styleId="Footer">
    <w:name w:val="footer"/>
    <w:basedOn w:val="Normal"/>
    <w:next w:val="Normal"/>
    <w:link w:val="FooterChar"/>
    <w:uiPriority w:val="99"/>
    <w:rsid w:val="0047146B"/>
    <w:pPr>
      <w:tabs>
        <w:tab w:val="center" w:pos="4819"/>
        <w:tab w:val="right" w:pos="9071"/>
      </w:tabs>
      <w:ind w:firstLine="232"/>
    </w:pPr>
  </w:style>
  <w:style w:type="paragraph" w:customStyle="1" w:styleId="Author">
    <w:name w:val="Author"/>
    <w:basedOn w:val="Normal"/>
    <w:next w:val="Publisher"/>
    <w:rsid w:val="0047146B"/>
    <w:pPr>
      <w:spacing w:before="1440"/>
      <w:jc w:val="center"/>
    </w:pPr>
    <w:rPr>
      <w:b/>
      <w:sz w:val="28"/>
    </w:rPr>
  </w:style>
  <w:style w:type="paragraph" w:customStyle="1" w:styleId="Publisher">
    <w:name w:val="Publisher"/>
    <w:basedOn w:val="Author"/>
    <w:next w:val="Titledate"/>
    <w:rsid w:val="0047146B"/>
    <w:pPr>
      <w:spacing w:before="0"/>
    </w:pPr>
  </w:style>
  <w:style w:type="paragraph" w:customStyle="1" w:styleId="Titledate">
    <w:name w:val="Titledate"/>
    <w:basedOn w:val="Author"/>
    <w:rsid w:val="0047146B"/>
    <w:pPr>
      <w:spacing w:before="0"/>
    </w:pPr>
  </w:style>
  <w:style w:type="paragraph" w:styleId="FootnoteText">
    <w:name w:val="footnote text"/>
    <w:basedOn w:val="Normal"/>
    <w:semiHidden/>
    <w:rsid w:val="0047146B"/>
    <w:rPr>
      <w:sz w:val="18"/>
    </w:rPr>
  </w:style>
  <w:style w:type="paragraph" w:styleId="TOC1">
    <w:name w:val="toc 1"/>
    <w:basedOn w:val="Normal"/>
    <w:next w:val="Normal"/>
    <w:semiHidden/>
    <w:rsid w:val="0047146B"/>
    <w:pPr>
      <w:tabs>
        <w:tab w:val="right" w:leader="dot" w:pos="8200"/>
      </w:tabs>
      <w:spacing w:before="120" w:after="120"/>
    </w:pPr>
    <w:rPr>
      <w:b/>
      <w:caps/>
      <w:sz w:val="20"/>
    </w:rPr>
  </w:style>
  <w:style w:type="paragraph" w:styleId="TOC2">
    <w:name w:val="toc 2"/>
    <w:basedOn w:val="Normal"/>
    <w:next w:val="Normal"/>
    <w:semiHidden/>
    <w:rsid w:val="0047146B"/>
    <w:pPr>
      <w:tabs>
        <w:tab w:val="right" w:leader="dot" w:pos="8200"/>
      </w:tabs>
      <w:ind w:left="260"/>
    </w:pPr>
    <w:rPr>
      <w:smallCaps/>
      <w:sz w:val="20"/>
    </w:rPr>
  </w:style>
  <w:style w:type="paragraph" w:styleId="List">
    <w:name w:val="List"/>
    <w:basedOn w:val="Normal"/>
    <w:rsid w:val="0047146B"/>
    <w:pPr>
      <w:ind w:left="568" w:hanging="284"/>
    </w:pPr>
  </w:style>
  <w:style w:type="paragraph" w:styleId="List2">
    <w:name w:val="List 2"/>
    <w:basedOn w:val="List"/>
    <w:rsid w:val="0047146B"/>
    <w:pPr>
      <w:ind w:left="454" w:firstLine="0"/>
    </w:pPr>
  </w:style>
  <w:style w:type="paragraph" w:styleId="ListNumber">
    <w:name w:val="List Number"/>
    <w:basedOn w:val="Normal"/>
    <w:rsid w:val="0047146B"/>
    <w:pPr>
      <w:keepLines/>
      <w:spacing w:before="120"/>
      <w:ind w:left="340" w:hanging="227"/>
    </w:pPr>
  </w:style>
  <w:style w:type="paragraph" w:customStyle="1" w:styleId="Heading1Nonumbering">
    <w:name w:val="Heading 1 (No numbering)"/>
    <w:basedOn w:val="Heading1"/>
    <w:next w:val="Normalstart"/>
    <w:rsid w:val="0047146B"/>
    <w:pPr>
      <w:ind w:left="0"/>
      <w:outlineLvl w:val="9"/>
    </w:pPr>
  </w:style>
  <w:style w:type="paragraph" w:customStyle="1" w:styleId="Heading2Nonumbering">
    <w:name w:val="Heading 2 (No numbering)"/>
    <w:basedOn w:val="Heading1"/>
    <w:next w:val="Normalstart"/>
    <w:autoRedefine/>
    <w:rsid w:val="004A7C0A"/>
    <w:pPr>
      <w:numPr>
        <w:numId w:val="0"/>
      </w:numPr>
      <w:tabs>
        <w:tab w:val="clear" w:pos="0"/>
      </w:tabs>
    </w:pPr>
    <w:rPr>
      <w:b w:val="0"/>
    </w:rPr>
  </w:style>
  <w:style w:type="paragraph" w:styleId="ListBullet">
    <w:name w:val="List Bullet"/>
    <w:basedOn w:val="Normal"/>
    <w:rsid w:val="0047146B"/>
    <w:pPr>
      <w:tabs>
        <w:tab w:val="num" w:pos="360"/>
      </w:tabs>
      <w:spacing w:before="120"/>
      <w:ind w:left="360" w:hanging="360"/>
    </w:pPr>
  </w:style>
  <w:style w:type="paragraph" w:styleId="ListBullet2">
    <w:name w:val="List Bullet 2"/>
    <w:basedOn w:val="Normal"/>
    <w:rsid w:val="0047146B"/>
    <w:pPr>
      <w:tabs>
        <w:tab w:val="num" w:pos="360"/>
      </w:tabs>
      <w:ind w:left="641" w:hanging="357"/>
    </w:pPr>
  </w:style>
  <w:style w:type="paragraph" w:styleId="Quote">
    <w:name w:val="Quote"/>
    <w:basedOn w:val="Normal"/>
    <w:qFormat/>
    <w:rsid w:val="008B111F"/>
    <w:pPr>
      <w:spacing w:before="120" w:after="240" w:line="240" w:lineRule="auto"/>
      <w:ind w:left="720" w:right="720"/>
    </w:pPr>
    <w:rPr>
      <w:sz w:val="22"/>
    </w:rPr>
  </w:style>
  <w:style w:type="paragraph" w:styleId="Title">
    <w:name w:val="Title"/>
    <w:basedOn w:val="Normal"/>
    <w:next w:val="Subtitle"/>
    <w:qFormat/>
    <w:rsid w:val="0047146B"/>
    <w:pPr>
      <w:keepLines/>
      <w:suppressAutoHyphens/>
      <w:spacing w:before="1440" w:after="480"/>
      <w:jc w:val="center"/>
    </w:pPr>
    <w:rPr>
      <w:rFonts w:ascii="Arial" w:hAnsi="Arial"/>
      <w:b/>
      <w:kern w:val="28"/>
      <w:sz w:val="72"/>
    </w:rPr>
  </w:style>
  <w:style w:type="paragraph" w:styleId="Subtitle">
    <w:name w:val="Subtitle"/>
    <w:basedOn w:val="Normal"/>
    <w:next w:val="Author"/>
    <w:qFormat/>
    <w:rsid w:val="0047146B"/>
    <w:pPr>
      <w:spacing w:after="1440"/>
      <w:jc w:val="center"/>
    </w:pPr>
    <w:rPr>
      <w:rFonts w:ascii="Arial" w:hAnsi="Arial"/>
      <w:i/>
      <w:sz w:val="28"/>
    </w:rPr>
  </w:style>
  <w:style w:type="paragraph" w:styleId="Header">
    <w:name w:val="header"/>
    <w:basedOn w:val="Normal"/>
    <w:link w:val="HeaderChar"/>
    <w:autoRedefine/>
    <w:rsid w:val="00B86FFC"/>
    <w:pPr>
      <w:tabs>
        <w:tab w:val="left" w:pos="0"/>
        <w:tab w:val="right" w:pos="284"/>
        <w:tab w:val="right" w:pos="8448"/>
      </w:tabs>
      <w:overflowPunct w:val="0"/>
      <w:autoSpaceDE w:val="0"/>
      <w:autoSpaceDN w:val="0"/>
      <w:adjustRightInd w:val="0"/>
      <w:spacing w:after="240" w:line="240" w:lineRule="exact"/>
      <w:ind w:right="357" w:firstLine="232"/>
      <w:jc w:val="center"/>
      <w:textAlignment w:val="baseline"/>
    </w:pPr>
    <w:rPr>
      <w:i/>
      <w:sz w:val="22"/>
      <w:lang w:val="en-US"/>
    </w:rPr>
  </w:style>
  <w:style w:type="character" w:styleId="Hyperlink">
    <w:name w:val="Hyperlink"/>
    <w:basedOn w:val="DefaultParagraphFont"/>
    <w:rsid w:val="0047146B"/>
    <w:rPr>
      <w:dstrike w:val="0"/>
      <w:color w:val="000080"/>
      <w:u w:val="none"/>
      <w:effect w:val="none"/>
      <w:vertAlign w:val="baseline"/>
    </w:rPr>
  </w:style>
  <w:style w:type="paragraph" w:styleId="TOC3">
    <w:name w:val="toc 3"/>
    <w:basedOn w:val="Normal"/>
    <w:next w:val="Normal"/>
    <w:semiHidden/>
    <w:rsid w:val="0047146B"/>
    <w:pPr>
      <w:tabs>
        <w:tab w:val="right" w:leader="dot" w:pos="8200"/>
      </w:tabs>
      <w:ind w:left="520"/>
    </w:pPr>
    <w:rPr>
      <w:i/>
      <w:sz w:val="20"/>
    </w:rPr>
  </w:style>
  <w:style w:type="paragraph" w:styleId="TOC4">
    <w:name w:val="toc 4"/>
    <w:basedOn w:val="Normal"/>
    <w:next w:val="Normal"/>
    <w:semiHidden/>
    <w:rsid w:val="0047146B"/>
    <w:pPr>
      <w:tabs>
        <w:tab w:val="right" w:leader="dot" w:pos="8200"/>
      </w:tabs>
      <w:ind w:left="780"/>
    </w:pPr>
    <w:rPr>
      <w:sz w:val="18"/>
    </w:rPr>
  </w:style>
  <w:style w:type="paragraph" w:styleId="TOC5">
    <w:name w:val="toc 5"/>
    <w:basedOn w:val="Normal"/>
    <w:next w:val="Normal"/>
    <w:semiHidden/>
    <w:rsid w:val="0047146B"/>
    <w:pPr>
      <w:tabs>
        <w:tab w:val="right" w:leader="dot" w:pos="8200"/>
      </w:tabs>
      <w:ind w:left="1040"/>
    </w:pPr>
    <w:rPr>
      <w:sz w:val="18"/>
    </w:rPr>
  </w:style>
  <w:style w:type="paragraph" w:styleId="TOC6">
    <w:name w:val="toc 6"/>
    <w:basedOn w:val="Normal"/>
    <w:next w:val="Normal"/>
    <w:semiHidden/>
    <w:rsid w:val="0047146B"/>
    <w:pPr>
      <w:tabs>
        <w:tab w:val="right" w:leader="dot" w:pos="8200"/>
      </w:tabs>
      <w:ind w:left="1300"/>
    </w:pPr>
    <w:rPr>
      <w:sz w:val="18"/>
    </w:rPr>
  </w:style>
  <w:style w:type="paragraph" w:styleId="EndnoteText">
    <w:name w:val="endnote text"/>
    <w:basedOn w:val="Normal"/>
    <w:semiHidden/>
    <w:rsid w:val="0047146B"/>
    <w:rPr>
      <w:sz w:val="20"/>
    </w:rPr>
  </w:style>
  <w:style w:type="character" w:styleId="EndnoteReference">
    <w:name w:val="endnote reference"/>
    <w:basedOn w:val="DefaultParagraphFont"/>
    <w:semiHidden/>
    <w:rsid w:val="0047146B"/>
    <w:rPr>
      <w:vertAlign w:val="superscript"/>
    </w:rPr>
  </w:style>
  <w:style w:type="paragraph" w:customStyle="1" w:styleId="tablecomment">
    <w:name w:val="table comment"/>
    <w:basedOn w:val="Normal"/>
    <w:next w:val="Normal"/>
    <w:rsid w:val="009132F1"/>
    <w:pPr>
      <w:tabs>
        <w:tab w:val="left" w:pos="5720"/>
      </w:tabs>
      <w:overflowPunct w:val="0"/>
      <w:autoSpaceDE w:val="0"/>
      <w:autoSpaceDN w:val="0"/>
      <w:adjustRightInd w:val="0"/>
      <w:spacing w:after="240" w:line="240" w:lineRule="auto"/>
      <w:ind w:firstLine="0"/>
      <w:textAlignment w:val="baseline"/>
    </w:pPr>
    <w:rPr>
      <w:sz w:val="20"/>
      <w:lang w:val="en-GB"/>
    </w:rPr>
  </w:style>
  <w:style w:type="paragraph" w:customStyle="1" w:styleId="Figureheading">
    <w:name w:val="Figure heading"/>
    <w:basedOn w:val="Normal"/>
    <w:next w:val="Normal"/>
    <w:autoRedefine/>
    <w:rsid w:val="009478E1"/>
    <w:pPr>
      <w:ind w:firstLine="706"/>
    </w:pPr>
    <w:rPr>
      <w:i/>
      <w:lang w:val="en-US"/>
    </w:rPr>
  </w:style>
  <w:style w:type="paragraph" w:customStyle="1" w:styleId="FigHead">
    <w:name w:val="FigHead"/>
    <w:basedOn w:val="Normal"/>
    <w:next w:val="Normal"/>
    <w:autoRedefine/>
    <w:rsid w:val="00161D05"/>
    <w:pPr>
      <w:keepNext/>
      <w:spacing w:before="120" w:line="276" w:lineRule="auto"/>
      <w:ind w:firstLine="0"/>
    </w:pPr>
    <w:rPr>
      <w:b/>
      <w:lang w:val="en-US"/>
    </w:rPr>
  </w:style>
  <w:style w:type="paragraph" w:customStyle="1" w:styleId="Coding">
    <w:name w:val="Coding"/>
    <w:basedOn w:val="Normal"/>
    <w:next w:val="Normal"/>
    <w:autoRedefine/>
    <w:rsid w:val="00E52A36"/>
    <w:pPr>
      <w:spacing w:after="120"/>
    </w:pPr>
    <w:rPr>
      <w:rFonts w:ascii="Arial" w:hAnsi="Arial"/>
      <w:u w:val="single"/>
    </w:rPr>
  </w:style>
  <w:style w:type="paragraph" w:customStyle="1" w:styleId="Stylemaintitle20ptBold">
    <w:name w:val="Style main title + 20 pt Bold"/>
    <w:basedOn w:val="Normal"/>
    <w:autoRedefine/>
    <w:rsid w:val="00122445"/>
    <w:pPr>
      <w:keepNext/>
      <w:tabs>
        <w:tab w:val="left" w:pos="0"/>
      </w:tabs>
      <w:overflowPunct w:val="0"/>
      <w:autoSpaceDE w:val="0"/>
      <w:autoSpaceDN w:val="0"/>
      <w:adjustRightInd w:val="0"/>
      <w:spacing w:before="360" w:after="240"/>
      <w:contextualSpacing/>
      <w:jc w:val="center"/>
      <w:textAlignment w:val="baseline"/>
      <w:outlineLvl w:val="0"/>
    </w:pPr>
    <w:rPr>
      <w:rFonts w:ascii="Arial" w:hAnsi="Arial"/>
      <w:b/>
      <w:bCs/>
      <w:kern w:val="32"/>
      <w:sz w:val="48"/>
      <w:lang w:val="en-US"/>
    </w:rPr>
  </w:style>
  <w:style w:type="paragraph" w:customStyle="1" w:styleId="StyleHeading1Left0Firstline0">
    <w:name w:val="Style Heading 1 + Left:  0&quot; First line:  0&quot;"/>
    <w:basedOn w:val="Heading1"/>
    <w:next w:val="Normal"/>
    <w:autoRedefine/>
    <w:rsid w:val="00AA73CC"/>
    <w:pPr>
      <w:numPr>
        <w:numId w:val="3"/>
      </w:numPr>
      <w:spacing w:before="240" w:after="0"/>
    </w:pPr>
    <w:rPr>
      <w:bCs/>
    </w:rPr>
  </w:style>
  <w:style w:type="paragraph" w:customStyle="1" w:styleId="UseHeading2">
    <w:name w:val="Use Heading 2"/>
    <w:basedOn w:val="Heading2"/>
    <w:next w:val="Normal"/>
    <w:autoRedefine/>
    <w:rsid w:val="00AA73CC"/>
    <w:pPr>
      <w:numPr>
        <w:ilvl w:val="0"/>
        <w:numId w:val="0"/>
      </w:numPr>
      <w:spacing w:before="180"/>
    </w:pPr>
    <w:rPr>
      <w:i w:val="0"/>
    </w:rPr>
  </w:style>
  <w:style w:type="paragraph" w:customStyle="1" w:styleId="Name">
    <w:name w:val="Name"/>
    <w:basedOn w:val="Heading3"/>
    <w:autoRedefine/>
    <w:rsid w:val="00122445"/>
    <w:pPr>
      <w:keepLines w:val="0"/>
      <w:numPr>
        <w:ilvl w:val="0"/>
        <w:numId w:val="0"/>
      </w:numPr>
      <w:tabs>
        <w:tab w:val="clear" w:pos="1224"/>
      </w:tabs>
      <w:suppressAutoHyphens w:val="0"/>
      <w:spacing w:after="480"/>
      <w:contextualSpacing/>
    </w:pPr>
    <w:rPr>
      <w:rFonts w:ascii="Times New Roman" w:hAnsi="Times New Roman" w:cs="Arial"/>
      <w:iCs w:val="0"/>
      <w:color w:val="000000"/>
      <w:szCs w:val="22"/>
    </w:rPr>
  </w:style>
  <w:style w:type="paragraph" w:customStyle="1" w:styleId="abstract">
    <w:name w:val="abstract"/>
    <w:basedOn w:val="Normalstart"/>
    <w:autoRedefine/>
    <w:rsid w:val="00680989"/>
    <w:pPr>
      <w:spacing w:line="240" w:lineRule="auto"/>
    </w:pPr>
    <w:rPr>
      <w:sz w:val="22"/>
      <w:szCs w:val="24"/>
      <w:lang w:val="en-US"/>
    </w:rPr>
  </w:style>
  <w:style w:type="paragraph" w:customStyle="1" w:styleId="TEMP">
    <w:name w:val="TEMP"/>
    <w:basedOn w:val="Normal"/>
    <w:next w:val="Normal"/>
    <w:autoRedefine/>
    <w:rsid w:val="004A7C0A"/>
    <w:pPr>
      <w:tabs>
        <w:tab w:val="left" w:pos="0"/>
      </w:tabs>
      <w:overflowPunct w:val="0"/>
      <w:autoSpaceDE w:val="0"/>
      <w:autoSpaceDN w:val="0"/>
      <w:adjustRightInd w:val="0"/>
      <w:spacing w:before="60"/>
      <w:jc w:val="center"/>
      <w:textAlignment w:val="baseline"/>
    </w:pPr>
    <w:rPr>
      <w:rFonts w:ascii="Arial" w:hAnsi="Arial"/>
      <w:sz w:val="28"/>
      <w:lang w:val="en-US"/>
    </w:rPr>
  </w:style>
  <w:style w:type="paragraph" w:customStyle="1" w:styleId="TableComment0">
    <w:name w:val="Table Comment"/>
    <w:basedOn w:val="Normal"/>
    <w:next w:val="Normal"/>
    <w:autoRedefine/>
    <w:rsid w:val="00FE26F2"/>
    <w:pPr>
      <w:keepLines/>
      <w:spacing w:after="360"/>
    </w:pPr>
    <w:rPr>
      <w:szCs w:val="24"/>
      <w:lang w:val="en-GB"/>
    </w:rPr>
  </w:style>
  <w:style w:type="paragraph" w:customStyle="1" w:styleId="Temp1">
    <w:name w:val="Temp1"/>
    <w:basedOn w:val="Normal"/>
    <w:autoRedefine/>
    <w:rsid w:val="003B59FA"/>
    <w:pPr>
      <w:tabs>
        <w:tab w:val="left" w:pos="0"/>
      </w:tabs>
      <w:overflowPunct w:val="0"/>
      <w:autoSpaceDE w:val="0"/>
      <w:autoSpaceDN w:val="0"/>
      <w:adjustRightInd w:val="0"/>
      <w:spacing w:before="60"/>
      <w:textAlignment w:val="baseline"/>
    </w:pPr>
    <w:rPr>
      <w:sz w:val="22"/>
      <w:szCs w:val="22"/>
      <w:lang w:val="en-US"/>
    </w:rPr>
  </w:style>
  <w:style w:type="paragraph" w:styleId="PlainText">
    <w:name w:val="Plain Text"/>
    <w:aliases w:val="Table text"/>
    <w:basedOn w:val="Normal"/>
    <w:link w:val="PlainTextChar"/>
    <w:autoRedefine/>
    <w:uiPriority w:val="99"/>
    <w:rsid w:val="009F3006"/>
    <w:rPr>
      <w:rFonts w:cs="Courier New"/>
      <w:sz w:val="22"/>
    </w:rPr>
  </w:style>
  <w:style w:type="paragraph" w:customStyle="1" w:styleId="useheading20">
    <w:name w:val="use heading 2"/>
    <w:basedOn w:val="Heading2"/>
    <w:autoRedefine/>
    <w:rsid w:val="007D4E1E"/>
    <w:pPr>
      <w:numPr>
        <w:ilvl w:val="0"/>
        <w:numId w:val="0"/>
      </w:numPr>
      <w:spacing w:before="0"/>
      <w:ind w:left="357" w:hanging="357"/>
    </w:pPr>
    <w:rPr>
      <w:i w:val="0"/>
      <w:sz w:val="32"/>
      <w:szCs w:val="32"/>
    </w:rPr>
  </w:style>
  <w:style w:type="paragraph" w:customStyle="1" w:styleId="authors">
    <w:name w:val="authors"/>
    <w:basedOn w:val="Normal"/>
    <w:rsid w:val="003C3AD8"/>
    <w:pPr>
      <w:tabs>
        <w:tab w:val="left" w:pos="0"/>
      </w:tabs>
      <w:overflowPunct w:val="0"/>
      <w:autoSpaceDE w:val="0"/>
      <w:autoSpaceDN w:val="0"/>
      <w:adjustRightInd w:val="0"/>
      <w:spacing w:line="240" w:lineRule="auto"/>
      <w:jc w:val="center"/>
      <w:textAlignment w:val="baseline"/>
    </w:pPr>
    <w:rPr>
      <w:sz w:val="22"/>
      <w:lang w:val="en-US"/>
    </w:rPr>
  </w:style>
  <w:style w:type="paragraph" w:customStyle="1" w:styleId="MainTitle">
    <w:name w:val="Main Title"/>
    <w:basedOn w:val="Normal"/>
    <w:next w:val="Normal"/>
    <w:rsid w:val="003C3AD8"/>
    <w:pPr>
      <w:tabs>
        <w:tab w:val="left" w:pos="0"/>
      </w:tabs>
      <w:overflowPunct w:val="0"/>
      <w:autoSpaceDE w:val="0"/>
      <w:autoSpaceDN w:val="0"/>
      <w:adjustRightInd w:val="0"/>
      <w:spacing w:before="360" w:after="480" w:line="240" w:lineRule="auto"/>
      <w:jc w:val="center"/>
      <w:textAlignment w:val="baseline"/>
    </w:pPr>
    <w:rPr>
      <w:rFonts w:ascii="Arial" w:hAnsi="Arial"/>
      <w:b/>
      <w:sz w:val="36"/>
      <w:lang w:val="en-US"/>
    </w:rPr>
  </w:style>
  <w:style w:type="paragraph" w:customStyle="1" w:styleId="Summary">
    <w:name w:val="Summary"/>
    <w:basedOn w:val="Normal"/>
    <w:next w:val="Normal"/>
    <w:link w:val="SummaryChar"/>
    <w:autoRedefine/>
    <w:rsid w:val="006453FE"/>
    <w:pPr>
      <w:tabs>
        <w:tab w:val="left" w:pos="0"/>
      </w:tabs>
      <w:spacing w:before="360"/>
      <w:ind w:firstLine="0"/>
    </w:pPr>
    <w:rPr>
      <w:i/>
      <w:sz w:val="28"/>
    </w:rPr>
  </w:style>
  <w:style w:type="character" w:customStyle="1" w:styleId="SummaryChar">
    <w:name w:val="Summary Char"/>
    <w:basedOn w:val="DefaultParagraphFont"/>
    <w:link w:val="Summary"/>
    <w:rsid w:val="006453FE"/>
    <w:rPr>
      <w:i/>
      <w:sz w:val="28"/>
      <w:lang w:eastAsia="en-US"/>
    </w:rPr>
  </w:style>
  <w:style w:type="paragraph" w:styleId="NoSpacing">
    <w:name w:val="No Spacing"/>
    <w:uiPriority w:val="1"/>
    <w:qFormat/>
    <w:rsid w:val="00AA778F"/>
    <w:rPr>
      <w:sz w:val="24"/>
      <w:szCs w:val="24"/>
      <w:lang w:val="en-US" w:eastAsia="en-US"/>
    </w:rPr>
  </w:style>
  <w:style w:type="paragraph" w:customStyle="1" w:styleId="Referencelist">
    <w:name w:val="Reference list"/>
    <w:basedOn w:val="Normal"/>
    <w:autoRedefine/>
    <w:rsid w:val="008A6191"/>
    <w:pPr>
      <w:spacing w:before="120" w:after="120" w:line="240" w:lineRule="auto"/>
      <w:ind w:left="709" w:hanging="709"/>
    </w:pPr>
    <w:rPr>
      <w:lang w:val="en-US"/>
    </w:rPr>
  </w:style>
  <w:style w:type="character" w:customStyle="1" w:styleId="HeaderChar">
    <w:name w:val="Header Char"/>
    <w:basedOn w:val="DefaultParagraphFont"/>
    <w:link w:val="Header"/>
    <w:rsid w:val="00B86FFC"/>
    <w:rPr>
      <w:rFonts w:ascii="Garamond" w:hAnsi="Garamond"/>
      <w:i/>
      <w:sz w:val="22"/>
      <w:lang w:val="en-US" w:eastAsia="en-US"/>
    </w:rPr>
  </w:style>
  <w:style w:type="paragraph" w:styleId="BalloonText">
    <w:name w:val="Balloon Text"/>
    <w:basedOn w:val="Normal"/>
    <w:link w:val="BalloonTextChar"/>
    <w:uiPriority w:val="99"/>
    <w:rsid w:val="009F6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6D84"/>
    <w:rPr>
      <w:rFonts w:ascii="Tahoma" w:hAnsi="Tahoma" w:cs="Tahoma"/>
      <w:sz w:val="16"/>
      <w:szCs w:val="16"/>
      <w:lang w:eastAsia="en-US"/>
    </w:rPr>
  </w:style>
  <w:style w:type="paragraph" w:styleId="NormalWeb">
    <w:name w:val="Normal (Web)"/>
    <w:basedOn w:val="Normal"/>
    <w:uiPriority w:val="99"/>
    <w:unhideWhenUsed/>
    <w:rsid w:val="00B221E9"/>
    <w:pPr>
      <w:spacing w:before="100" w:beforeAutospacing="1" w:after="100" w:afterAutospacing="1" w:line="240" w:lineRule="auto"/>
      <w:ind w:firstLine="0"/>
    </w:pPr>
    <w:rPr>
      <w:color w:val="000000"/>
      <w:szCs w:val="24"/>
      <w:lang w:eastAsia="nb-NO"/>
    </w:rPr>
  </w:style>
  <w:style w:type="character" w:customStyle="1" w:styleId="FooterChar">
    <w:name w:val="Footer Char"/>
    <w:basedOn w:val="DefaultParagraphFont"/>
    <w:link w:val="Footer"/>
    <w:uiPriority w:val="99"/>
    <w:rsid w:val="00BA69CB"/>
    <w:rPr>
      <w:sz w:val="24"/>
      <w:lang w:eastAsia="en-US"/>
    </w:rPr>
  </w:style>
  <w:style w:type="character" w:styleId="CommentReference">
    <w:name w:val="annotation reference"/>
    <w:basedOn w:val="DefaultParagraphFont"/>
    <w:uiPriority w:val="99"/>
    <w:rsid w:val="005424FC"/>
    <w:rPr>
      <w:sz w:val="16"/>
      <w:szCs w:val="16"/>
    </w:rPr>
  </w:style>
  <w:style w:type="character" w:styleId="HTMLTypewriter">
    <w:name w:val="HTML Typewriter"/>
    <w:basedOn w:val="DefaultParagraphFont"/>
    <w:uiPriority w:val="99"/>
    <w:unhideWhenUsed/>
    <w:rsid w:val="00EF5C56"/>
    <w:rPr>
      <w:rFonts w:ascii="Courier New" w:eastAsia="Times New Roman" w:hAnsi="Courier New" w:cs="Courier New"/>
      <w:sz w:val="20"/>
      <w:szCs w:val="20"/>
    </w:rPr>
  </w:style>
  <w:style w:type="paragraph" w:customStyle="1" w:styleId="References">
    <w:name w:val="References"/>
    <w:basedOn w:val="Normal"/>
    <w:rsid w:val="00AF7935"/>
    <w:pPr>
      <w:spacing w:before="120" w:after="120" w:line="240" w:lineRule="auto"/>
      <w:ind w:left="709" w:hanging="709"/>
    </w:pPr>
    <w:rPr>
      <w:sz w:val="22"/>
      <w:lang w:val="en-US"/>
    </w:rPr>
  </w:style>
  <w:style w:type="character" w:customStyle="1" w:styleId="PlainTextChar">
    <w:name w:val="Plain Text Char"/>
    <w:aliases w:val="Table text Char"/>
    <w:basedOn w:val="DefaultParagraphFont"/>
    <w:link w:val="PlainText"/>
    <w:uiPriority w:val="99"/>
    <w:rsid w:val="00912B3B"/>
    <w:rPr>
      <w:rFonts w:cs="Courier New"/>
      <w:sz w:val="22"/>
      <w:lang w:eastAsia="en-US"/>
    </w:rPr>
  </w:style>
  <w:style w:type="paragraph" w:customStyle="1" w:styleId="table">
    <w:name w:val="table"/>
    <w:basedOn w:val="Normal"/>
    <w:qFormat/>
    <w:rsid w:val="00912B3B"/>
    <w:pPr>
      <w:spacing w:line="240" w:lineRule="auto"/>
      <w:ind w:firstLine="0"/>
    </w:pPr>
    <w:rPr>
      <w:sz w:val="22"/>
      <w:vertAlign w:val="superscript"/>
    </w:rPr>
  </w:style>
  <w:style w:type="paragraph" w:customStyle="1" w:styleId="table2">
    <w:name w:val="table2"/>
    <w:basedOn w:val="Normal"/>
    <w:qFormat/>
    <w:rsid w:val="00912B3B"/>
    <w:pPr>
      <w:spacing w:line="240" w:lineRule="auto"/>
      <w:ind w:firstLine="0"/>
      <w:contextualSpacing/>
    </w:pPr>
    <w:rPr>
      <w:sz w:val="20"/>
    </w:rPr>
  </w:style>
  <w:style w:type="paragraph" w:customStyle="1" w:styleId="Styleuseheading2Firstline0cm">
    <w:name w:val="Style use heading 2 + First line:  0 cm"/>
    <w:basedOn w:val="useheading20"/>
    <w:rsid w:val="00D80441"/>
    <w:pPr>
      <w:spacing w:before="240" w:after="0"/>
      <w:ind w:firstLine="0"/>
    </w:pPr>
    <w:rPr>
      <w:bCs/>
      <w:iCs/>
    </w:rPr>
  </w:style>
  <w:style w:type="paragraph" w:customStyle="1" w:styleId="StyleNoSpacingItalicLeft063cm">
    <w:name w:val="Style No Spacing + Italic Left:  0.63 cm"/>
    <w:basedOn w:val="NoSpacing"/>
    <w:rsid w:val="00636067"/>
    <w:pPr>
      <w:spacing w:after="600"/>
      <w:ind w:left="357"/>
    </w:pPr>
    <w:rPr>
      <w:i/>
      <w:iCs/>
      <w:szCs w:val="20"/>
    </w:rPr>
  </w:style>
  <w:style w:type="paragraph" w:customStyle="1" w:styleId="Default">
    <w:name w:val="Default"/>
    <w:rsid w:val="00B548BA"/>
    <w:pPr>
      <w:autoSpaceDE w:val="0"/>
      <w:autoSpaceDN w:val="0"/>
      <w:adjustRightInd w:val="0"/>
    </w:pPr>
    <w:rPr>
      <w:color w:val="000000"/>
      <w:sz w:val="24"/>
      <w:szCs w:val="24"/>
    </w:rPr>
  </w:style>
  <w:style w:type="paragraph" w:styleId="CommentText">
    <w:name w:val="annotation text"/>
    <w:basedOn w:val="Normal"/>
    <w:link w:val="CommentTextChar"/>
    <w:rsid w:val="00C52508"/>
    <w:pPr>
      <w:spacing w:line="240" w:lineRule="auto"/>
    </w:pPr>
    <w:rPr>
      <w:sz w:val="20"/>
    </w:rPr>
  </w:style>
  <w:style w:type="character" w:customStyle="1" w:styleId="CommentTextChar">
    <w:name w:val="Comment Text Char"/>
    <w:basedOn w:val="DefaultParagraphFont"/>
    <w:link w:val="CommentText"/>
    <w:rsid w:val="00C52508"/>
    <w:rPr>
      <w:lang w:eastAsia="en-US"/>
    </w:rPr>
  </w:style>
  <w:style w:type="paragraph" w:styleId="CommentSubject">
    <w:name w:val="annotation subject"/>
    <w:basedOn w:val="CommentText"/>
    <w:next w:val="CommentText"/>
    <w:link w:val="CommentSubjectChar"/>
    <w:rsid w:val="00C52508"/>
    <w:rPr>
      <w:b/>
      <w:bCs/>
    </w:rPr>
  </w:style>
  <w:style w:type="character" w:customStyle="1" w:styleId="CommentSubjectChar">
    <w:name w:val="Comment Subject Char"/>
    <w:basedOn w:val="CommentTextChar"/>
    <w:link w:val="CommentSubject"/>
    <w:rsid w:val="00C52508"/>
    <w:rPr>
      <w:b/>
      <w:bCs/>
      <w:lang w:eastAsia="en-US"/>
    </w:rPr>
  </w:style>
  <w:style w:type="paragraph" w:styleId="Revision">
    <w:name w:val="Revision"/>
    <w:hidden/>
    <w:uiPriority w:val="99"/>
    <w:semiHidden/>
    <w:rsid w:val="00C52508"/>
    <w:rPr>
      <w:sz w:val="24"/>
      <w:lang w:eastAsia="en-US"/>
    </w:rPr>
  </w:style>
  <w:style w:type="paragraph" w:styleId="ListParagraph">
    <w:name w:val="List Paragraph"/>
    <w:basedOn w:val="Normal"/>
    <w:uiPriority w:val="34"/>
    <w:qFormat/>
    <w:rsid w:val="00D60D22"/>
    <w:pPr>
      <w:ind w:left="720"/>
      <w:contextualSpacing/>
    </w:pPr>
  </w:style>
  <w:style w:type="table" w:styleId="TableGrid">
    <w:name w:val="Table Grid"/>
    <w:basedOn w:val="TableNormal"/>
    <w:rsid w:val="00B86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firstpara">
    <w:name w:val="Normal first para"/>
    <w:basedOn w:val="Normal"/>
    <w:link w:val="NormalfirstparaChar"/>
    <w:autoRedefine/>
    <w:rsid w:val="002523E3"/>
    <w:pPr>
      <w:tabs>
        <w:tab w:val="left" w:pos="5720"/>
      </w:tabs>
      <w:overflowPunct w:val="0"/>
      <w:autoSpaceDE w:val="0"/>
      <w:autoSpaceDN w:val="0"/>
      <w:adjustRightInd w:val="0"/>
      <w:ind w:firstLine="0"/>
      <w:textAlignment w:val="baseline"/>
    </w:pPr>
    <w:rPr>
      <w:lang w:val="en-GB"/>
    </w:rPr>
  </w:style>
  <w:style w:type="paragraph" w:customStyle="1" w:styleId="ReferencelistChar">
    <w:name w:val="Reference list Char"/>
    <w:basedOn w:val="Normal"/>
    <w:link w:val="ReferencelistCharChar"/>
    <w:autoRedefine/>
    <w:rsid w:val="00664BE1"/>
    <w:pPr>
      <w:overflowPunct w:val="0"/>
      <w:autoSpaceDE w:val="0"/>
      <w:autoSpaceDN w:val="0"/>
      <w:adjustRightInd w:val="0"/>
      <w:spacing w:before="120" w:after="120" w:line="240" w:lineRule="auto"/>
      <w:ind w:left="709" w:hanging="709"/>
      <w:textAlignment w:val="baseline"/>
    </w:pPr>
    <w:rPr>
      <w:szCs w:val="24"/>
      <w:lang w:val="en-US"/>
    </w:rPr>
  </w:style>
  <w:style w:type="character" w:customStyle="1" w:styleId="ReferencelistCharChar">
    <w:name w:val="Reference list Char Char"/>
    <w:basedOn w:val="DefaultParagraphFont"/>
    <w:link w:val="ReferencelistChar"/>
    <w:rsid w:val="00664BE1"/>
    <w:rPr>
      <w:rFonts w:ascii="Garamond" w:hAnsi="Garamond"/>
      <w:sz w:val="24"/>
      <w:szCs w:val="24"/>
      <w:lang w:val="en-US" w:eastAsia="en-US"/>
    </w:rPr>
  </w:style>
  <w:style w:type="character" w:customStyle="1" w:styleId="NormalfirstparaChar">
    <w:name w:val="Normal first para Char"/>
    <w:basedOn w:val="DefaultParagraphFont"/>
    <w:link w:val="Normalfirstpara"/>
    <w:rsid w:val="002523E3"/>
    <w:rPr>
      <w:sz w:val="24"/>
      <w:lang w:val="en-GB" w:eastAsia="en-US"/>
    </w:rPr>
  </w:style>
  <w:style w:type="paragraph" w:customStyle="1" w:styleId="StyleauthorsFirstline0cm">
    <w:name w:val="Style authors + First line:  0 cm"/>
    <w:basedOn w:val="authors"/>
    <w:rsid w:val="00FA3955"/>
    <w:pPr>
      <w:ind w:firstLine="0"/>
    </w:pPr>
    <w:rPr>
      <w:rFonts w:ascii="Arial" w:hAnsi="Arial"/>
      <w:b/>
      <w:sz w:val="32"/>
    </w:rPr>
  </w:style>
  <w:style w:type="paragraph" w:customStyle="1" w:styleId="StyleauthorsFirstline0cm1">
    <w:name w:val="Style authors + First line:  0 cm1"/>
    <w:basedOn w:val="authors"/>
    <w:rsid w:val="00FA3955"/>
    <w:pPr>
      <w:ind w:firstLine="0"/>
    </w:pPr>
    <w:rPr>
      <w:sz w:val="24"/>
    </w:rPr>
  </w:style>
  <w:style w:type="paragraph" w:customStyle="1" w:styleId="titlepage">
    <w:name w:val="title page"/>
    <w:basedOn w:val="Normalfirstpara"/>
    <w:qFormat/>
    <w:rsid w:val="0045487E"/>
  </w:style>
  <w:style w:type="paragraph" w:customStyle="1" w:styleId="Styletable29pt">
    <w:name w:val="Style table2 + 9 pt"/>
    <w:basedOn w:val="table2"/>
    <w:rsid w:val="005004B3"/>
    <w:pPr>
      <w:keepNext/>
    </w:pPr>
    <w:rPr>
      <w:sz w:val="18"/>
    </w:rPr>
  </w:style>
  <w:style w:type="paragraph" w:customStyle="1" w:styleId="StyleGaramondFirstline0cm">
    <w:name w:val="Style Garamond First line:  0 cm"/>
    <w:basedOn w:val="Normal"/>
    <w:rsid w:val="00F2774D"/>
    <w:pPr>
      <w:ind w:firstLine="0"/>
    </w:pPr>
  </w:style>
  <w:style w:type="paragraph" w:customStyle="1" w:styleId="StyleStyleNoSpacingItalicLeft063cmGaramond">
    <w:name w:val="Style Style No Spacing + Italic Left:  0.63 cm + Garamond"/>
    <w:basedOn w:val="StyleNoSpacingItalicLeft063cm"/>
    <w:rsid w:val="00F0554C"/>
    <w:pPr>
      <w:spacing w:before="240"/>
    </w:pPr>
    <w:rPr>
      <w:rFonts w:ascii="Garamond" w:hAnsi="Garamond"/>
    </w:rPr>
  </w:style>
  <w:style w:type="paragraph" w:customStyle="1" w:styleId="StyleHeading1Linespacing15lines">
    <w:name w:val="Style Heading 1 + Line spacing:  1.5 lines"/>
    <w:basedOn w:val="Heading1"/>
    <w:rsid w:val="00BA06E4"/>
    <w:pPr>
      <w:ind w:left="357" w:hanging="357"/>
    </w:pPr>
    <w:rPr>
      <w:bCs/>
    </w:rPr>
  </w:style>
  <w:style w:type="character" w:styleId="Emphasis">
    <w:name w:val="Emphasis"/>
    <w:basedOn w:val="DefaultParagraphFont"/>
    <w:uiPriority w:val="20"/>
    <w:qFormat/>
    <w:rsid w:val="005370BE"/>
    <w:rPr>
      <w:i/>
      <w:iCs/>
    </w:rPr>
  </w:style>
  <w:style w:type="character" w:styleId="Strong">
    <w:name w:val="Strong"/>
    <w:basedOn w:val="DefaultParagraphFont"/>
    <w:uiPriority w:val="22"/>
    <w:qFormat/>
    <w:rsid w:val="005370BE"/>
    <w:rPr>
      <w:b/>
      <w:bCs/>
    </w:rPr>
  </w:style>
  <w:style w:type="character" w:styleId="HTMLCite">
    <w:name w:val="HTML Cite"/>
    <w:basedOn w:val="DefaultParagraphFont"/>
    <w:uiPriority w:val="99"/>
    <w:unhideWhenUsed/>
    <w:rsid w:val="001430C5"/>
    <w:rPr>
      <w:i/>
      <w:iCs/>
    </w:rPr>
  </w:style>
  <w:style w:type="paragraph" w:customStyle="1" w:styleId="Normalfirst">
    <w:name w:val="Normal_first"/>
    <w:basedOn w:val="Normal"/>
    <w:qFormat/>
    <w:rsid w:val="001D6831"/>
    <w:pPr>
      <w:spacing w:line="240" w:lineRule="auto"/>
      <w:ind w:firstLine="0"/>
    </w:pPr>
    <w:rPr>
      <w:rFonts w:ascii="Times New Roman" w:hAnsi="Times New Roman"/>
      <w:szCs w:val="22"/>
      <w:lang w:val="en-US"/>
    </w:rPr>
  </w:style>
  <w:style w:type="table" w:styleId="MediumShading2">
    <w:name w:val="Medium Shading 2"/>
    <w:basedOn w:val="TableNormal"/>
    <w:uiPriority w:val="64"/>
    <w:rsid w:val="00885C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rsid w:val="006641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0830">
      <w:bodyDiv w:val="1"/>
      <w:marLeft w:val="0"/>
      <w:marRight w:val="0"/>
      <w:marTop w:val="0"/>
      <w:marBottom w:val="0"/>
      <w:divBdr>
        <w:top w:val="none" w:sz="0" w:space="0" w:color="auto"/>
        <w:left w:val="none" w:sz="0" w:space="0" w:color="auto"/>
        <w:bottom w:val="none" w:sz="0" w:space="0" w:color="auto"/>
        <w:right w:val="none" w:sz="0" w:space="0" w:color="auto"/>
      </w:divBdr>
    </w:div>
    <w:div w:id="105580738">
      <w:bodyDiv w:val="1"/>
      <w:marLeft w:val="0"/>
      <w:marRight w:val="0"/>
      <w:marTop w:val="0"/>
      <w:marBottom w:val="0"/>
      <w:divBdr>
        <w:top w:val="none" w:sz="0" w:space="0" w:color="auto"/>
        <w:left w:val="none" w:sz="0" w:space="0" w:color="auto"/>
        <w:bottom w:val="none" w:sz="0" w:space="0" w:color="auto"/>
        <w:right w:val="none" w:sz="0" w:space="0" w:color="auto"/>
      </w:divBdr>
    </w:div>
    <w:div w:id="167260452">
      <w:bodyDiv w:val="1"/>
      <w:marLeft w:val="0"/>
      <w:marRight w:val="0"/>
      <w:marTop w:val="0"/>
      <w:marBottom w:val="0"/>
      <w:divBdr>
        <w:top w:val="none" w:sz="0" w:space="0" w:color="auto"/>
        <w:left w:val="none" w:sz="0" w:space="0" w:color="auto"/>
        <w:bottom w:val="none" w:sz="0" w:space="0" w:color="auto"/>
        <w:right w:val="none" w:sz="0" w:space="0" w:color="auto"/>
      </w:divBdr>
      <w:divsChild>
        <w:div w:id="298607750">
          <w:marLeft w:val="0"/>
          <w:marRight w:val="0"/>
          <w:marTop w:val="0"/>
          <w:marBottom w:val="0"/>
          <w:divBdr>
            <w:top w:val="none" w:sz="0" w:space="0" w:color="auto"/>
            <w:left w:val="none" w:sz="0" w:space="0" w:color="auto"/>
            <w:bottom w:val="none" w:sz="0" w:space="0" w:color="auto"/>
            <w:right w:val="none" w:sz="0" w:space="0" w:color="auto"/>
          </w:divBdr>
          <w:divsChild>
            <w:div w:id="1058465">
              <w:marLeft w:val="0"/>
              <w:marRight w:val="0"/>
              <w:marTop w:val="0"/>
              <w:marBottom w:val="0"/>
              <w:divBdr>
                <w:top w:val="none" w:sz="0" w:space="0" w:color="auto"/>
                <w:left w:val="none" w:sz="0" w:space="0" w:color="auto"/>
                <w:bottom w:val="none" w:sz="0" w:space="0" w:color="auto"/>
                <w:right w:val="none" w:sz="0" w:space="0" w:color="auto"/>
              </w:divBdr>
            </w:div>
            <w:div w:id="23100834">
              <w:marLeft w:val="0"/>
              <w:marRight w:val="0"/>
              <w:marTop w:val="0"/>
              <w:marBottom w:val="0"/>
              <w:divBdr>
                <w:top w:val="none" w:sz="0" w:space="0" w:color="auto"/>
                <w:left w:val="none" w:sz="0" w:space="0" w:color="auto"/>
                <w:bottom w:val="none" w:sz="0" w:space="0" w:color="auto"/>
                <w:right w:val="none" w:sz="0" w:space="0" w:color="auto"/>
              </w:divBdr>
            </w:div>
            <w:div w:id="124661098">
              <w:marLeft w:val="0"/>
              <w:marRight w:val="0"/>
              <w:marTop w:val="0"/>
              <w:marBottom w:val="0"/>
              <w:divBdr>
                <w:top w:val="none" w:sz="0" w:space="0" w:color="auto"/>
                <w:left w:val="none" w:sz="0" w:space="0" w:color="auto"/>
                <w:bottom w:val="none" w:sz="0" w:space="0" w:color="auto"/>
                <w:right w:val="none" w:sz="0" w:space="0" w:color="auto"/>
              </w:divBdr>
            </w:div>
            <w:div w:id="139422687">
              <w:marLeft w:val="0"/>
              <w:marRight w:val="0"/>
              <w:marTop w:val="0"/>
              <w:marBottom w:val="0"/>
              <w:divBdr>
                <w:top w:val="none" w:sz="0" w:space="0" w:color="auto"/>
                <w:left w:val="none" w:sz="0" w:space="0" w:color="auto"/>
                <w:bottom w:val="none" w:sz="0" w:space="0" w:color="auto"/>
                <w:right w:val="none" w:sz="0" w:space="0" w:color="auto"/>
              </w:divBdr>
            </w:div>
            <w:div w:id="166141938">
              <w:marLeft w:val="0"/>
              <w:marRight w:val="0"/>
              <w:marTop w:val="0"/>
              <w:marBottom w:val="0"/>
              <w:divBdr>
                <w:top w:val="none" w:sz="0" w:space="0" w:color="auto"/>
                <w:left w:val="none" w:sz="0" w:space="0" w:color="auto"/>
                <w:bottom w:val="none" w:sz="0" w:space="0" w:color="auto"/>
                <w:right w:val="none" w:sz="0" w:space="0" w:color="auto"/>
              </w:divBdr>
            </w:div>
            <w:div w:id="176846852">
              <w:marLeft w:val="0"/>
              <w:marRight w:val="0"/>
              <w:marTop w:val="0"/>
              <w:marBottom w:val="0"/>
              <w:divBdr>
                <w:top w:val="none" w:sz="0" w:space="0" w:color="auto"/>
                <w:left w:val="none" w:sz="0" w:space="0" w:color="auto"/>
                <w:bottom w:val="none" w:sz="0" w:space="0" w:color="auto"/>
                <w:right w:val="none" w:sz="0" w:space="0" w:color="auto"/>
              </w:divBdr>
            </w:div>
            <w:div w:id="201479285">
              <w:marLeft w:val="0"/>
              <w:marRight w:val="0"/>
              <w:marTop w:val="0"/>
              <w:marBottom w:val="0"/>
              <w:divBdr>
                <w:top w:val="none" w:sz="0" w:space="0" w:color="auto"/>
                <w:left w:val="none" w:sz="0" w:space="0" w:color="auto"/>
                <w:bottom w:val="none" w:sz="0" w:space="0" w:color="auto"/>
                <w:right w:val="none" w:sz="0" w:space="0" w:color="auto"/>
              </w:divBdr>
            </w:div>
            <w:div w:id="339242240">
              <w:marLeft w:val="0"/>
              <w:marRight w:val="0"/>
              <w:marTop w:val="0"/>
              <w:marBottom w:val="0"/>
              <w:divBdr>
                <w:top w:val="none" w:sz="0" w:space="0" w:color="auto"/>
                <w:left w:val="none" w:sz="0" w:space="0" w:color="auto"/>
                <w:bottom w:val="none" w:sz="0" w:space="0" w:color="auto"/>
                <w:right w:val="none" w:sz="0" w:space="0" w:color="auto"/>
              </w:divBdr>
            </w:div>
            <w:div w:id="507863777">
              <w:marLeft w:val="0"/>
              <w:marRight w:val="0"/>
              <w:marTop w:val="0"/>
              <w:marBottom w:val="0"/>
              <w:divBdr>
                <w:top w:val="none" w:sz="0" w:space="0" w:color="auto"/>
                <w:left w:val="none" w:sz="0" w:space="0" w:color="auto"/>
                <w:bottom w:val="none" w:sz="0" w:space="0" w:color="auto"/>
                <w:right w:val="none" w:sz="0" w:space="0" w:color="auto"/>
              </w:divBdr>
            </w:div>
            <w:div w:id="583757280">
              <w:marLeft w:val="0"/>
              <w:marRight w:val="0"/>
              <w:marTop w:val="0"/>
              <w:marBottom w:val="0"/>
              <w:divBdr>
                <w:top w:val="none" w:sz="0" w:space="0" w:color="auto"/>
                <w:left w:val="none" w:sz="0" w:space="0" w:color="auto"/>
                <w:bottom w:val="none" w:sz="0" w:space="0" w:color="auto"/>
                <w:right w:val="none" w:sz="0" w:space="0" w:color="auto"/>
              </w:divBdr>
            </w:div>
            <w:div w:id="792401299">
              <w:marLeft w:val="0"/>
              <w:marRight w:val="0"/>
              <w:marTop w:val="0"/>
              <w:marBottom w:val="0"/>
              <w:divBdr>
                <w:top w:val="none" w:sz="0" w:space="0" w:color="auto"/>
                <w:left w:val="none" w:sz="0" w:space="0" w:color="auto"/>
                <w:bottom w:val="none" w:sz="0" w:space="0" w:color="auto"/>
                <w:right w:val="none" w:sz="0" w:space="0" w:color="auto"/>
              </w:divBdr>
            </w:div>
            <w:div w:id="806051359">
              <w:marLeft w:val="0"/>
              <w:marRight w:val="0"/>
              <w:marTop w:val="0"/>
              <w:marBottom w:val="0"/>
              <w:divBdr>
                <w:top w:val="none" w:sz="0" w:space="0" w:color="auto"/>
                <w:left w:val="none" w:sz="0" w:space="0" w:color="auto"/>
                <w:bottom w:val="none" w:sz="0" w:space="0" w:color="auto"/>
                <w:right w:val="none" w:sz="0" w:space="0" w:color="auto"/>
              </w:divBdr>
            </w:div>
            <w:div w:id="823742260">
              <w:marLeft w:val="0"/>
              <w:marRight w:val="0"/>
              <w:marTop w:val="0"/>
              <w:marBottom w:val="0"/>
              <w:divBdr>
                <w:top w:val="none" w:sz="0" w:space="0" w:color="auto"/>
                <w:left w:val="none" w:sz="0" w:space="0" w:color="auto"/>
                <w:bottom w:val="none" w:sz="0" w:space="0" w:color="auto"/>
                <w:right w:val="none" w:sz="0" w:space="0" w:color="auto"/>
              </w:divBdr>
            </w:div>
            <w:div w:id="902717535">
              <w:marLeft w:val="0"/>
              <w:marRight w:val="0"/>
              <w:marTop w:val="0"/>
              <w:marBottom w:val="0"/>
              <w:divBdr>
                <w:top w:val="none" w:sz="0" w:space="0" w:color="auto"/>
                <w:left w:val="none" w:sz="0" w:space="0" w:color="auto"/>
                <w:bottom w:val="none" w:sz="0" w:space="0" w:color="auto"/>
                <w:right w:val="none" w:sz="0" w:space="0" w:color="auto"/>
              </w:divBdr>
            </w:div>
            <w:div w:id="910580782">
              <w:marLeft w:val="0"/>
              <w:marRight w:val="0"/>
              <w:marTop w:val="0"/>
              <w:marBottom w:val="0"/>
              <w:divBdr>
                <w:top w:val="none" w:sz="0" w:space="0" w:color="auto"/>
                <w:left w:val="none" w:sz="0" w:space="0" w:color="auto"/>
                <w:bottom w:val="none" w:sz="0" w:space="0" w:color="auto"/>
                <w:right w:val="none" w:sz="0" w:space="0" w:color="auto"/>
              </w:divBdr>
            </w:div>
            <w:div w:id="1089738747">
              <w:marLeft w:val="0"/>
              <w:marRight w:val="0"/>
              <w:marTop w:val="0"/>
              <w:marBottom w:val="0"/>
              <w:divBdr>
                <w:top w:val="none" w:sz="0" w:space="0" w:color="auto"/>
                <w:left w:val="none" w:sz="0" w:space="0" w:color="auto"/>
                <w:bottom w:val="none" w:sz="0" w:space="0" w:color="auto"/>
                <w:right w:val="none" w:sz="0" w:space="0" w:color="auto"/>
              </w:divBdr>
            </w:div>
            <w:div w:id="1151948879">
              <w:marLeft w:val="0"/>
              <w:marRight w:val="0"/>
              <w:marTop w:val="0"/>
              <w:marBottom w:val="0"/>
              <w:divBdr>
                <w:top w:val="none" w:sz="0" w:space="0" w:color="auto"/>
                <w:left w:val="none" w:sz="0" w:space="0" w:color="auto"/>
                <w:bottom w:val="none" w:sz="0" w:space="0" w:color="auto"/>
                <w:right w:val="none" w:sz="0" w:space="0" w:color="auto"/>
              </w:divBdr>
            </w:div>
            <w:div w:id="1362707168">
              <w:marLeft w:val="0"/>
              <w:marRight w:val="0"/>
              <w:marTop w:val="0"/>
              <w:marBottom w:val="0"/>
              <w:divBdr>
                <w:top w:val="none" w:sz="0" w:space="0" w:color="auto"/>
                <w:left w:val="none" w:sz="0" w:space="0" w:color="auto"/>
                <w:bottom w:val="none" w:sz="0" w:space="0" w:color="auto"/>
                <w:right w:val="none" w:sz="0" w:space="0" w:color="auto"/>
              </w:divBdr>
            </w:div>
            <w:div w:id="1457603172">
              <w:marLeft w:val="0"/>
              <w:marRight w:val="0"/>
              <w:marTop w:val="0"/>
              <w:marBottom w:val="0"/>
              <w:divBdr>
                <w:top w:val="none" w:sz="0" w:space="0" w:color="auto"/>
                <w:left w:val="none" w:sz="0" w:space="0" w:color="auto"/>
                <w:bottom w:val="none" w:sz="0" w:space="0" w:color="auto"/>
                <w:right w:val="none" w:sz="0" w:space="0" w:color="auto"/>
              </w:divBdr>
            </w:div>
            <w:div w:id="1495490475">
              <w:marLeft w:val="0"/>
              <w:marRight w:val="0"/>
              <w:marTop w:val="0"/>
              <w:marBottom w:val="0"/>
              <w:divBdr>
                <w:top w:val="none" w:sz="0" w:space="0" w:color="auto"/>
                <w:left w:val="none" w:sz="0" w:space="0" w:color="auto"/>
                <w:bottom w:val="none" w:sz="0" w:space="0" w:color="auto"/>
                <w:right w:val="none" w:sz="0" w:space="0" w:color="auto"/>
              </w:divBdr>
            </w:div>
            <w:div w:id="1615282501">
              <w:marLeft w:val="0"/>
              <w:marRight w:val="0"/>
              <w:marTop w:val="0"/>
              <w:marBottom w:val="0"/>
              <w:divBdr>
                <w:top w:val="none" w:sz="0" w:space="0" w:color="auto"/>
                <w:left w:val="none" w:sz="0" w:space="0" w:color="auto"/>
                <w:bottom w:val="none" w:sz="0" w:space="0" w:color="auto"/>
                <w:right w:val="none" w:sz="0" w:space="0" w:color="auto"/>
              </w:divBdr>
            </w:div>
            <w:div w:id="1731612021">
              <w:marLeft w:val="0"/>
              <w:marRight w:val="0"/>
              <w:marTop w:val="0"/>
              <w:marBottom w:val="0"/>
              <w:divBdr>
                <w:top w:val="none" w:sz="0" w:space="0" w:color="auto"/>
                <w:left w:val="none" w:sz="0" w:space="0" w:color="auto"/>
                <w:bottom w:val="none" w:sz="0" w:space="0" w:color="auto"/>
                <w:right w:val="none" w:sz="0" w:space="0" w:color="auto"/>
              </w:divBdr>
            </w:div>
            <w:div w:id="1797487694">
              <w:marLeft w:val="0"/>
              <w:marRight w:val="0"/>
              <w:marTop w:val="0"/>
              <w:marBottom w:val="0"/>
              <w:divBdr>
                <w:top w:val="none" w:sz="0" w:space="0" w:color="auto"/>
                <w:left w:val="none" w:sz="0" w:space="0" w:color="auto"/>
                <w:bottom w:val="none" w:sz="0" w:space="0" w:color="auto"/>
                <w:right w:val="none" w:sz="0" w:space="0" w:color="auto"/>
              </w:divBdr>
            </w:div>
            <w:div w:id="1929384806">
              <w:marLeft w:val="0"/>
              <w:marRight w:val="0"/>
              <w:marTop w:val="0"/>
              <w:marBottom w:val="0"/>
              <w:divBdr>
                <w:top w:val="none" w:sz="0" w:space="0" w:color="auto"/>
                <w:left w:val="none" w:sz="0" w:space="0" w:color="auto"/>
                <w:bottom w:val="none" w:sz="0" w:space="0" w:color="auto"/>
                <w:right w:val="none" w:sz="0" w:space="0" w:color="auto"/>
              </w:divBdr>
            </w:div>
            <w:div w:id="1940134605">
              <w:marLeft w:val="0"/>
              <w:marRight w:val="0"/>
              <w:marTop w:val="0"/>
              <w:marBottom w:val="0"/>
              <w:divBdr>
                <w:top w:val="none" w:sz="0" w:space="0" w:color="auto"/>
                <w:left w:val="none" w:sz="0" w:space="0" w:color="auto"/>
                <w:bottom w:val="none" w:sz="0" w:space="0" w:color="auto"/>
                <w:right w:val="none" w:sz="0" w:space="0" w:color="auto"/>
              </w:divBdr>
            </w:div>
            <w:div w:id="1971546004">
              <w:marLeft w:val="0"/>
              <w:marRight w:val="0"/>
              <w:marTop w:val="0"/>
              <w:marBottom w:val="0"/>
              <w:divBdr>
                <w:top w:val="none" w:sz="0" w:space="0" w:color="auto"/>
                <w:left w:val="none" w:sz="0" w:space="0" w:color="auto"/>
                <w:bottom w:val="none" w:sz="0" w:space="0" w:color="auto"/>
                <w:right w:val="none" w:sz="0" w:space="0" w:color="auto"/>
              </w:divBdr>
            </w:div>
            <w:div w:id="2070299068">
              <w:marLeft w:val="0"/>
              <w:marRight w:val="0"/>
              <w:marTop w:val="0"/>
              <w:marBottom w:val="0"/>
              <w:divBdr>
                <w:top w:val="none" w:sz="0" w:space="0" w:color="auto"/>
                <w:left w:val="none" w:sz="0" w:space="0" w:color="auto"/>
                <w:bottom w:val="none" w:sz="0" w:space="0" w:color="auto"/>
                <w:right w:val="none" w:sz="0" w:space="0" w:color="auto"/>
              </w:divBdr>
            </w:div>
            <w:div w:id="21324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3915">
      <w:bodyDiv w:val="1"/>
      <w:marLeft w:val="0"/>
      <w:marRight w:val="0"/>
      <w:marTop w:val="0"/>
      <w:marBottom w:val="0"/>
      <w:divBdr>
        <w:top w:val="none" w:sz="0" w:space="0" w:color="auto"/>
        <w:left w:val="none" w:sz="0" w:space="0" w:color="auto"/>
        <w:bottom w:val="none" w:sz="0" w:space="0" w:color="auto"/>
        <w:right w:val="none" w:sz="0" w:space="0" w:color="auto"/>
      </w:divBdr>
    </w:div>
    <w:div w:id="346635942">
      <w:bodyDiv w:val="1"/>
      <w:marLeft w:val="0"/>
      <w:marRight w:val="0"/>
      <w:marTop w:val="0"/>
      <w:marBottom w:val="0"/>
      <w:divBdr>
        <w:top w:val="none" w:sz="0" w:space="0" w:color="auto"/>
        <w:left w:val="none" w:sz="0" w:space="0" w:color="auto"/>
        <w:bottom w:val="none" w:sz="0" w:space="0" w:color="auto"/>
        <w:right w:val="none" w:sz="0" w:space="0" w:color="auto"/>
      </w:divBdr>
    </w:div>
    <w:div w:id="372727983">
      <w:bodyDiv w:val="1"/>
      <w:marLeft w:val="0"/>
      <w:marRight w:val="0"/>
      <w:marTop w:val="0"/>
      <w:marBottom w:val="0"/>
      <w:divBdr>
        <w:top w:val="none" w:sz="0" w:space="0" w:color="auto"/>
        <w:left w:val="none" w:sz="0" w:space="0" w:color="auto"/>
        <w:bottom w:val="none" w:sz="0" w:space="0" w:color="auto"/>
        <w:right w:val="none" w:sz="0" w:space="0" w:color="auto"/>
      </w:divBdr>
    </w:div>
    <w:div w:id="406346270">
      <w:bodyDiv w:val="1"/>
      <w:marLeft w:val="0"/>
      <w:marRight w:val="0"/>
      <w:marTop w:val="0"/>
      <w:marBottom w:val="0"/>
      <w:divBdr>
        <w:top w:val="none" w:sz="0" w:space="0" w:color="auto"/>
        <w:left w:val="none" w:sz="0" w:space="0" w:color="auto"/>
        <w:bottom w:val="none" w:sz="0" w:space="0" w:color="auto"/>
        <w:right w:val="none" w:sz="0" w:space="0" w:color="auto"/>
      </w:divBdr>
    </w:div>
    <w:div w:id="419300866">
      <w:bodyDiv w:val="1"/>
      <w:marLeft w:val="0"/>
      <w:marRight w:val="0"/>
      <w:marTop w:val="0"/>
      <w:marBottom w:val="0"/>
      <w:divBdr>
        <w:top w:val="none" w:sz="0" w:space="0" w:color="auto"/>
        <w:left w:val="none" w:sz="0" w:space="0" w:color="auto"/>
        <w:bottom w:val="none" w:sz="0" w:space="0" w:color="auto"/>
        <w:right w:val="none" w:sz="0" w:space="0" w:color="auto"/>
      </w:divBdr>
    </w:div>
    <w:div w:id="463352763">
      <w:bodyDiv w:val="1"/>
      <w:marLeft w:val="0"/>
      <w:marRight w:val="0"/>
      <w:marTop w:val="0"/>
      <w:marBottom w:val="0"/>
      <w:divBdr>
        <w:top w:val="none" w:sz="0" w:space="0" w:color="auto"/>
        <w:left w:val="none" w:sz="0" w:space="0" w:color="auto"/>
        <w:bottom w:val="none" w:sz="0" w:space="0" w:color="auto"/>
        <w:right w:val="none" w:sz="0" w:space="0" w:color="auto"/>
      </w:divBdr>
    </w:div>
    <w:div w:id="496270151">
      <w:bodyDiv w:val="1"/>
      <w:marLeft w:val="0"/>
      <w:marRight w:val="0"/>
      <w:marTop w:val="0"/>
      <w:marBottom w:val="0"/>
      <w:divBdr>
        <w:top w:val="none" w:sz="0" w:space="0" w:color="auto"/>
        <w:left w:val="none" w:sz="0" w:space="0" w:color="auto"/>
        <w:bottom w:val="none" w:sz="0" w:space="0" w:color="auto"/>
        <w:right w:val="none" w:sz="0" w:space="0" w:color="auto"/>
      </w:divBdr>
    </w:div>
    <w:div w:id="526337313">
      <w:bodyDiv w:val="1"/>
      <w:marLeft w:val="0"/>
      <w:marRight w:val="0"/>
      <w:marTop w:val="0"/>
      <w:marBottom w:val="0"/>
      <w:divBdr>
        <w:top w:val="none" w:sz="0" w:space="0" w:color="auto"/>
        <w:left w:val="none" w:sz="0" w:space="0" w:color="auto"/>
        <w:bottom w:val="none" w:sz="0" w:space="0" w:color="auto"/>
        <w:right w:val="none" w:sz="0" w:space="0" w:color="auto"/>
      </w:divBdr>
      <w:divsChild>
        <w:div w:id="1970546344">
          <w:marLeft w:val="547"/>
          <w:marRight w:val="0"/>
          <w:marTop w:val="0"/>
          <w:marBottom w:val="0"/>
          <w:divBdr>
            <w:top w:val="none" w:sz="0" w:space="0" w:color="auto"/>
            <w:left w:val="none" w:sz="0" w:space="0" w:color="auto"/>
            <w:bottom w:val="none" w:sz="0" w:space="0" w:color="auto"/>
            <w:right w:val="none" w:sz="0" w:space="0" w:color="auto"/>
          </w:divBdr>
        </w:div>
      </w:divsChild>
    </w:div>
    <w:div w:id="554973874">
      <w:bodyDiv w:val="1"/>
      <w:marLeft w:val="0"/>
      <w:marRight w:val="0"/>
      <w:marTop w:val="0"/>
      <w:marBottom w:val="0"/>
      <w:divBdr>
        <w:top w:val="none" w:sz="0" w:space="0" w:color="auto"/>
        <w:left w:val="none" w:sz="0" w:space="0" w:color="auto"/>
        <w:bottom w:val="none" w:sz="0" w:space="0" w:color="auto"/>
        <w:right w:val="none" w:sz="0" w:space="0" w:color="auto"/>
      </w:divBdr>
    </w:div>
    <w:div w:id="585460147">
      <w:bodyDiv w:val="1"/>
      <w:marLeft w:val="0"/>
      <w:marRight w:val="0"/>
      <w:marTop w:val="0"/>
      <w:marBottom w:val="0"/>
      <w:divBdr>
        <w:top w:val="none" w:sz="0" w:space="0" w:color="auto"/>
        <w:left w:val="none" w:sz="0" w:space="0" w:color="auto"/>
        <w:bottom w:val="none" w:sz="0" w:space="0" w:color="auto"/>
        <w:right w:val="none" w:sz="0" w:space="0" w:color="auto"/>
      </w:divBdr>
    </w:div>
    <w:div w:id="596206735">
      <w:bodyDiv w:val="1"/>
      <w:marLeft w:val="0"/>
      <w:marRight w:val="0"/>
      <w:marTop w:val="0"/>
      <w:marBottom w:val="0"/>
      <w:divBdr>
        <w:top w:val="none" w:sz="0" w:space="0" w:color="auto"/>
        <w:left w:val="none" w:sz="0" w:space="0" w:color="auto"/>
        <w:bottom w:val="none" w:sz="0" w:space="0" w:color="auto"/>
        <w:right w:val="none" w:sz="0" w:space="0" w:color="auto"/>
      </w:divBdr>
      <w:divsChild>
        <w:div w:id="164445846">
          <w:marLeft w:val="418"/>
          <w:marRight w:val="0"/>
          <w:marTop w:val="101"/>
          <w:marBottom w:val="0"/>
          <w:divBdr>
            <w:top w:val="none" w:sz="0" w:space="0" w:color="auto"/>
            <w:left w:val="none" w:sz="0" w:space="0" w:color="auto"/>
            <w:bottom w:val="none" w:sz="0" w:space="0" w:color="auto"/>
            <w:right w:val="none" w:sz="0" w:space="0" w:color="auto"/>
          </w:divBdr>
        </w:div>
      </w:divsChild>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648169165">
      <w:bodyDiv w:val="1"/>
      <w:marLeft w:val="0"/>
      <w:marRight w:val="0"/>
      <w:marTop w:val="0"/>
      <w:marBottom w:val="0"/>
      <w:divBdr>
        <w:top w:val="none" w:sz="0" w:space="0" w:color="auto"/>
        <w:left w:val="none" w:sz="0" w:space="0" w:color="auto"/>
        <w:bottom w:val="none" w:sz="0" w:space="0" w:color="auto"/>
        <w:right w:val="none" w:sz="0" w:space="0" w:color="auto"/>
      </w:divBdr>
    </w:div>
    <w:div w:id="662659043">
      <w:bodyDiv w:val="1"/>
      <w:marLeft w:val="0"/>
      <w:marRight w:val="0"/>
      <w:marTop w:val="0"/>
      <w:marBottom w:val="0"/>
      <w:divBdr>
        <w:top w:val="none" w:sz="0" w:space="0" w:color="auto"/>
        <w:left w:val="none" w:sz="0" w:space="0" w:color="auto"/>
        <w:bottom w:val="none" w:sz="0" w:space="0" w:color="auto"/>
        <w:right w:val="none" w:sz="0" w:space="0" w:color="auto"/>
      </w:divBdr>
    </w:div>
    <w:div w:id="671764339">
      <w:bodyDiv w:val="1"/>
      <w:marLeft w:val="0"/>
      <w:marRight w:val="0"/>
      <w:marTop w:val="0"/>
      <w:marBottom w:val="0"/>
      <w:divBdr>
        <w:top w:val="none" w:sz="0" w:space="0" w:color="auto"/>
        <w:left w:val="none" w:sz="0" w:space="0" w:color="auto"/>
        <w:bottom w:val="none" w:sz="0" w:space="0" w:color="auto"/>
        <w:right w:val="none" w:sz="0" w:space="0" w:color="auto"/>
      </w:divBdr>
      <w:divsChild>
        <w:div w:id="197747005">
          <w:marLeft w:val="1152"/>
          <w:marRight w:val="0"/>
          <w:marTop w:val="96"/>
          <w:marBottom w:val="0"/>
          <w:divBdr>
            <w:top w:val="none" w:sz="0" w:space="0" w:color="auto"/>
            <w:left w:val="none" w:sz="0" w:space="0" w:color="auto"/>
            <w:bottom w:val="none" w:sz="0" w:space="0" w:color="auto"/>
            <w:right w:val="none" w:sz="0" w:space="0" w:color="auto"/>
          </w:divBdr>
        </w:div>
        <w:div w:id="522523161">
          <w:marLeft w:val="1152"/>
          <w:marRight w:val="0"/>
          <w:marTop w:val="96"/>
          <w:marBottom w:val="0"/>
          <w:divBdr>
            <w:top w:val="none" w:sz="0" w:space="0" w:color="auto"/>
            <w:left w:val="none" w:sz="0" w:space="0" w:color="auto"/>
            <w:bottom w:val="none" w:sz="0" w:space="0" w:color="auto"/>
            <w:right w:val="none" w:sz="0" w:space="0" w:color="auto"/>
          </w:divBdr>
        </w:div>
        <w:div w:id="584536424">
          <w:marLeft w:val="1152"/>
          <w:marRight w:val="0"/>
          <w:marTop w:val="96"/>
          <w:marBottom w:val="0"/>
          <w:divBdr>
            <w:top w:val="none" w:sz="0" w:space="0" w:color="auto"/>
            <w:left w:val="none" w:sz="0" w:space="0" w:color="auto"/>
            <w:bottom w:val="none" w:sz="0" w:space="0" w:color="auto"/>
            <w:right w:val="none" w:sz="0" w:space="0" w:color="auto"/>
          </w:divBdr>
        </w:div>
        <w:div w:id="745372238">
          <w:marLeft w:val="1152"/>
          <w:marRight w:val="0"/>
          <w:marTop w:val="96"/>
          <w:marBottom w:val="0"/>
          <w:divBdr>
            <w:top w:val="none" w:sz="0" w:space="0" w:color="auto"/>
            <w:left w:val="none" w:sz="0" w:space="0" w:color="auto"/>
            <w:bottom w:val="none" w:sz="0" w:space="0" w:color="auto"/>
            <w:right w:val="none" w:sz="0" w:space="0" w:color="auto"/>
          </w:divBdr>
        </w:div>
        <w:div w:id="774060284">
          <w:marLeft w:val="1152"/>
          <w:marRight w:val="0"/>
          <w:marTop w:val="96"/>
          <w:marBottom w:val="0"/>
          <w:divBdr>
            <w:top w:val="none" w:sz="0" w:space="0" w:color="auto"/>
            <w:left w:val="none" w:sz="0" w:space="0" w:color="auto"/>
            <w:bottom w:val="none" w:sz="0" w:space="0" w:color="auto"/>
            <w:right w:val="none" w:sz="0" w:space="0" w:color="auto"/>
          </w:divBdr>
        </w:div>
        <w:div w:id="1044404872">
          <w:marLeft w:val="1152"/>
          <w:marRight w:val="0"/>
          <w:marTop w:val="96"/>
          <w:marBottom w:val="0"/>
          <w:divBdr>
            <w:top w:val="none" w:sz="0" w:space="0" w:color="auto"/>
            <w:left w:val="none" w:sz="0" w:space="0" w:color="auto"/>
            <w:bottom w:val="none" w:sz="0" w:space="0" w:color="auto"/>
            <w:right w:val="none" w:sz="0" w:space="0" w:color="auto"/>
          </w:divBdr>
        </w:div>
      </w:divsChild>
    </w:div>
    <w:div w:id="676463743">
      <w:bodyDiv w:val="1"/>
      <w:marLeft w:val="0"/>
      <w:marRight w:val="0"/>
      <w:marTop w:val="0"/>
      <w:marBottom w:val="0"/>
      <w:divBdr>
        <w:top w:val="none" w:sz="0" w:space="0" w:color="auto"/>
        <w:left w:val="none" w:sz="0" w:space="0" w:color="auto"/>
        <w:bottom w:val="none" w:sz="0" w:space="0" w:color="auto"/>
        <w:right w:val="none" w:sz="0" w:space="0" w:color="auto"/>
      </w:divBdr>
    </w:div>
    <w:div w:id="730468542">
      <w:bodyDiv w:val="1"/>
      <w:marLeft w:val="0"/>
      <w:marRight w:val="0"/>
      <w:marTop w:val="0"/>
      <w:marBottom w:val="0"/>
      <w:divBdr>
        <w:top w:val="none" w:sz="0" w:space="0" w:color="auto"/>
        <w:left w:val="none" w:sz="0" w:space="0" w:color="auto"/>
        <w:bottom w:val="none" w:sz="0" w:space="0" w:color="auto"/>
        <w:right w:val="none" w:sz="0" w:space="0" w:color="auto"/>
      </w:divBdr>
    </w:div>
    <w:div w:id="789740305">
      <w:bodyDiv w:val="1"/>
      <w:marLeft w:val="0"/>
      <w:marRight w:val="0"/>
      <w:marTop w:val="0"/>
      <w:marBottom w:val="0"/>
      <w:divBdr>
        <w:top w:val="none" w:sz="0" w:space="0" w:color="auto"/>
        <w:left w:val="none" w:sz="0" w:space="0" w:color="auto"/>
        <w:bottom w:val="none" w:sz="0" w:space="0" w:color="auto"/>
        <w:right w:val="none" w:sz="0" w:space="0" w:color="auto"/>
      </w:divBdr>
    </w:div>
    <w:div w:id="850606276">
      <w:bodyDiv w:val="1"/>
      <w:marLeft w:val="0"/>
      <w:marRight w:val="0"/>
      <w:marTop w:val="0"/>
      <w:marBottom w:val="0"/>
      <w:divBdr>
        <w:top w:val="none" w:sz="0" w:space="0" w:color="auto"/>
        <w:left w:val="none" w:sz="0" w:space="0" w:color="auto"/>
        <w:bottom w:val="none" w:sz="0" w:space="0" w:color="auto"/>
        <w:right w:val="none" w:sz="0" w:space="0" w:color="auto"/>
      </w:divBdr>
    </w:div>
    <w:div w:id="867640737">
      <w:bodyDiv w:val="1"/>
      <w:marLeft w:val="0"/>
      <w:marRight w:val="0"/>
      <w:marTop w:val="0"/>
      <w:marBottom w:val="0"/>
      <w:divBdr>
        <w:top w:val="none" w:sz="0" w:space="0" w:color="auto"/>
        <w:left w:val="none" w:sz="0" w:space="0" w:color="auto"/>
        <w:bottom w:val="none" w:sz="0" w:space="0" w:color="auto"/>
        <w:right w:val="none" w:sz="0" w:space="0" w:color="auto"/>
      </w:divBdr>
      <w:divsChild>
        <w:div w:id="1282766838">
          <w:marLeft w:val="0"/>
          <w:marRight w:val="0"/>
          <w:marTop w:val="0"/>
          <w:marBottom w:val="0"/>
          <w:divBdr>
            <w:top w:val="none" w:sz="0" w:space="0" w:color="auto"/>
            <w:left w:val="none" w:sz="0" w:space="0" w:color="auto"/>
            <w:bottom w:val="none" w:sz="0" w:space="0" w:color="auto"/>
            <w:right w:val="none" w:sz="0" w:space="0" w:color="auto"/>
          </w:divBdr>
          <w:divsChild>
            <w:div w:id="4459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9016">
      <w:bodyDiv w:val="1"/>
      <w:marLeft w:val="0"/>
      <w:marRight w:val="0"/>
      <w:marTop w:val="0"/>
      <w:marBottom w:val="0"/>
      <w:divBdr>
        <w:top w:val="none" w:sz="0" w:space="0" w:color="auto"/>
        <w:left w:val="none" w:sz="0" w:space="0" w:color="auto"/>
        <w:bottom w:val="none" w:sz="0" w:space="0" w:color="auto"/>
        <w:right w:val="none" w:sz="0" w:space="0" w:color="auto"/>
      </w:divBdr>
    </w:div>
    <w:div w:id="988051014">
      <w:bodyDiv w:val="1"/>
      <w:marLeft w:val="0"/>
      <w:marRight w:val="0"/>
      <w:marTop w:val="0"/>
      <w:marBottom w:val="0"/>
      <w:divBdr>
        <w:top w:val="none" w:sz="0" w:space="0" w:color="auto"/>
        <w:left w:val="none" w:sz="0" w:space="0" w:color="auto"/>
        <w:bottom w:val="none" w:sz="0" w:space="0" w:color="auto"/>
        <w:right w:val="none" w:sz="0" w:space="0" w:color="auto"/>
      </w:divBdr>
    </w:div>
    <w:div w:id="1016267678">
      <w:bodyDiv w:val="1"/>
      <w:marLeft w:val="0"/>
      <w:marRight w:val="0"/>
      <w:marTop w:val="0"/>
      <w:marBottom w:val="0"/>
      <w:divBdr>
        <w:top w:val="none" w:sz="0" w:space="0" w:color="auto"/>
        <w:left w:val="none" w:sz="0" w:space="0" w:color="auto"/>
        <w:bottom w:val="none" w:sz="0" w:space="0" w:color="auto"/>
        <w:right w:val="none" w:sz="0" w:space="0" w:color="auto"/>
      </w:divBdr>
    </w:div>
    <w:div w:id="1022246846">
      <w:bodyDiv w:val="1"/>
      <w:marLeft w:val="0"/>
      <w:marRight w:val="0"/>
      <w:marTop w:val="0"/>
      <w:marBottom w:val="0"/>
      <w:divBdr>
        <w:top w:val="none" w:sz="0" w:space="0" w:color="auto"/>
        <w:left w:val="none" w:sz="0" w:space="0" w:color="auto"/>
        <w:bottom w:val="none" w:sz="0" w:space="0" w:color="auto"/>
        <w:right w:val="none" w:sz="0" w:space="0" w:color="auto"/>
      </w:divBdr>
    </w:div>
    <w:div w:id="1035929781">
      <w:bodyDiv w:val="1"/>
      <w:marLeft w:val="0"/>
      <w:marRight w:val="0"/>
      <w:marTop w:val="0"/>
      <w:marBottom w:val="0"/>
      <w:divBdr>
        <w:top w:val="none" w:sz="0" w:space="0" w:color="auto"/>
        <w:left w:val="none" w:sz="0" w:space="0" w:color="auto"/>
        <w:bottom w:val="none" w:sz="0" w:space="0" w:color="auto"/>
        <w:right w:val="none" w:sz="0" w:space="0" w:color="auto"/>
      </w:divBdr>
    </w:div>
    <w:div w:id="1046638979">
      <w:bodyDiv w:val="1"/>
      <w:marLeft w:val="0"/>
      <w:marRight w:val="0"/>
      <w:marTop w:val="0"/>
      <w:marBottom w:val="0"/>
      <w:divBdr>
        <w:top w:val="none" w:sz="0" w:space="0" w:color="auto"/>
        <w:left w:val="none" w:sz="0" w:space="0" w:color="auto"/>
        <w:bottom w:val="none" w:sz="0" w:space="0" w:color="auto"/>
        <w:right w:val="none" w:sz="0" w:space="0" w:color="auto"/>
      </w:divBdr>
    </w:div>
    <w:div w:id="1065837902">
      <w:bodyDiv w:val="1"/>
      <w:marLeft w:val="0"/>
      <w:marRight w:val="0"/>
      <w:marTop w:val="0"/>
      <w:marBottom w:val="0"/>
      <w:divBdr>
        <w:top w:val="none" w:sz="0" w:space="0" w:color="auto"/>
        <w:left w:val="none" w:sz="0" w:space="0" w:color="auto"/>
        <w:bottom w:val="none" w:sz="0" w:space="0" w:color="auto"/>
        <w:right w:val="none" w:sz="0" w:space="0" w:color="auto"/>
      </w:divBdr>
      <w:divsChild>
        <w:div w:id="1802993648">
          <w:marLeft w:val="0"/>
          <w:marRight w:val="0"/>
          <w:marTop w:val="0"/>
          <w:marBottom w:val="0"/>
          <w:divBdr>
            <w:top w:val="none" w:sz="0" w:space="0" w:color="auto"/>
            <w:left w:val="none" w:sz="0" w:space="0" w:color="auto"/>
            <w:bottom w:val="none" w:sz="0" w:space="0" w:color="auto"/>
            <w:right w:val="none" w:sz="0" w:space="0" w:color="auto"/>
          </w:divBdr>
        </w:div>
      </w:divsChild>
    </w:div>
    <w:div w:id="1074282420">
      <w:bodyDiv w:val="1"/>
      <w:marLeft w:val="0"/>
      <w:marRight w:val="0"/>
      <w:marTop w:val="0"/>
      <w:marBottom w:val="0"/>
      <w:divBdr>
        <w:top w:val="none" w:sz="0" w:space="0" w:color="auto"/>
        <w:left w:val="none" w:sz="0" w:space="0" w:color="auto"/>
        <w:bottom w:val="none" w:sz="0" w:space="0" w:color="auto"/>
        <w:right w:val="none" w:sz="0" w:space="0" w:color="auto"/>
      </w:divBdr>
      <w:divsChild>
        <w:div w:id="586233451">
          <w:marLeft w:val="547"/>
          <w:marRight w:val="0"/>
          <w:marTop w:val="0"/>
          <w:marBottom w:val="0"/>
          <w:divBdr>
            <w:top w:val="none" w:sz="0" w:space="0" w:color="auto"/>
            <w:left w:val="none" w:sz="0" w:space="0" w:color="auto"/>
            <w:bottom w:val="none" w:sz="0" w:space="0" w:color="auto"/>
            <w:right w:val="none" w:sz="0" w:space="0" w:color="auto"/>
          </w:divBdr>
        </w:div>
      </w:divsChild>
    </w:div>
    <w:div w:id="1123646092">
      <w:bodyDiv w:val="1"/>
      <w:marLeft w:val="0"/>
      <w:marRight w:val="0"/>
      <w:marTop w:val="0"/>
      <w:marBottom w:val="0"/>
      <w:divBdr>
        <w:top w:val="none" w:sz="0" w:space="0" w:color="auto"/>
        <w:left w:val="none" w:sz="0" w:space="0" w:color="auto"/>
        <w:bottom w:val="none" w:sz="0" w:space="0" w:color="auto"/>
        <w:right w:val="none" w:sz="0" w:space="0" w:color="auto"/>
      </w:divBdr>
    </w:div>
    <w:div w:id="1153570671">
      <w:bodyDiv w:val="1"/>
      <w:marLeft w:val="0"/>
      <w:marRight w:val="0"/>
      <w:marTop w:val="0"/>
      <w:marBottom w:val="0"/>
      <w:divBdr>
        <w:top w:val="none" w:sz="0" w:space="0" w:color="auto"/>
        <w:left w:val="none" w:sz="0" w:space="0" w:color="auto"/>
        <w:bottom w:val="none" w:sz="0" w:space="0" w:color="auto"/>
        <w:right w:val="none" w:sz="0" w:space="0" w:color="auto"/>
      </w:divBdr>
    </w:div>
    <w:div w:id="1257055235">
      <w:bodyDiv w:val="1"/>
      <w:marLeft w:val="0"/>
      <w:marRight w:val="0"/>
      <w:marTop w:val="0"/>
      <w:marBottom w:val="0"/>
      <w:divBdr>
        <w:top w:val="none" w:sz="0" w:space="0" w:color="auto"/>
        <w:left w:val="none" w:sz="0" w:space="0" w:color="auto"/>
        <w:bottom w:val="none" w:sz="0" w:space="0" w:color="auto"/>
        <w:right w:val="none" w:sz="0" w:space="0" w:color="auto"/>
      </w:divBdr>
    </w:div>
    <w:div w:id="1373766813">
      <w:bodyDiv w:val="1"/>
      <w:marLeft w:val="0"/>
      <w:marRight w:val="0"/>
      <w:marTop w:val="0"/>
      <w:marBottom w:val="0"/>
      <w:divBdr>
        <w:top w:val="none" w:sz="0" w:space="0" w:color="auto"/>
        <w:left w:val="none" w:sz="0" w:space="0" w:color="auto"/>
        <w:bottom w:val="none" w:sz="0" w:space="0" w:color="auto"/>
        <w:right w:val="none" w:sz="0" w:space="0" w:color="auto"/>
      </w:divBdr>
    </w:div>
    <w:div w:id="1410619000">
      <w:bodyDiv w:val="1"/>
      <w:marLeft w:val="0"/>
      <w:marRight w:val="0"/>
      <w:marTop w:val="0"/>
      <w:marBottom w:val="0"/>
      <w:divBdr>
        <w:top w:val="none" w:sz="0" w:space="0" w:color="auto"/>
        <w:left w:val="none" w:sz="0" w:space="0" w:color="auto"/>
        <w:bottom w:val="none" w:sz="0" w:space="0" w:color="auto"/>
        <w:right w:val="none" w:sz="0" w:space="0" w:color="auto"/>
      </w:divBdr>
    </w:div>
    <w:div w:id="1452091036">
      <w:bodyDiv w:val="1"/>
      <w:marLeft w:val="0"/>
      <w:marRight w:val="0"/>
      <w:marTop w:val="0"/>
      <w:marBottom w:val="0"/>
      <w:divBdr>
        <w:top w:val="none" w:sz="0" w:space="0" w:color="auto"/>
        <w:left w:val="none" w:sz="0" w:space="0" w:color="auto"/>
        <w:bottom w:val="none" w:sz="0" w:space="0" w:color="auto"/>
        <w:right w:val="none" w:sz="0" w:space="0" w:color="auto"/>
      </w:divBdr>
    </w:div>
    <w:div w:id="1454246967">
      <w:bodyDiv w:val="1"/>
      <w:marLeft w:val="0"/>
      <w:marRight w:val="0"/>
      <w:marTop w:val="0"/>
      <w:marBottom w:val="0"/>
      <w:divBdr>
        <w:top w:val="none" w:sz="0" w:space="0" w:color="auto"/>
        <w:left w:val="none" w:sz="0" w:space="0" w:color="auto"/>
        <w:bottom w:val="none" w:sz="0" w:space="0" w:color="auto"/>
        <w:right w:val="none" w:sz="0" w:space="0" w:color="auto"/>
      </w:divBdr>
    </w:div>
    <w:div w:id="1457066887">
      <w:bodyDiv w:val="1"/>
      <w:marLeft w:val="0"/>
      <w:marRight w:val="0"/>
      <w:marTop w:val="0"/>
      <w:marBottom w:val="0"/>
      <w:divBdr>
        <w:top w:val="none" w:sz="0" w:space="0" w:color="auto"/>
        <w:left w:val="none" w:sz="0" w:space="0" w:color="auto"/>
        <w:bottom w:val="none" w:sz="0" w:space="0" w:color="auto"/>
        <w:right w:val="none" w:sz="0" w:space="0" w:color="auto"/>
      </w:divBdr>
    </w:div>
    <w:div w:id="1492676739">
      <w:bodyDiv w:val="1"/>
      <w:marLeft w:val="0"/>
      <w:marRight w:val="0"/>
      <w:marTop w:val="0"/>
      <w:marBottom w:val="0"/>
      <w:divBdr>
        <w:top w:val="none" w:sz="0" w:space="0" w:color="auto"/>
        <w:left w:val="none" w:sz="0" w:space="0" w:color="auto"/>
        <w:bottom w:val="none" w:sz="0" w:space="0" w:color="auto"/>
        <w:right w:val="none" w:sz="0" w:space="0" w:color="auto"/>
      </w:divBdr>
      <w:divsChild>
        <w:div w:id="1320772410">
          <w:marLeft w:val="0"/>
          <w:marRight w:val="0"/>
          <w:marTop w:val="0"/>
          <w:marBottom w:val="0"/>
          <w:divBdr>
            <w:top w:val="none" w:sz="0" w:space="0" w:color="auto"/>
            <w:left w:val="none" w:sz="0" w:space="0" w:color="auto"/>
            <w:bottom w:val="none" w:sz="0" w:space="0" w:color="auto"/>
            <w:right w:val="none" w:sz="0" w:space="0" w:color="auto"/>
          </w:divBdr>
          <w:divsChild>
            <w:div w:id="112597081">
              <w:marLeft w:val="0"/>
              <w:marRight w:val="0"/>
              <w:marTop w:val="0"/>
              <w:marBottom w:val="0"/>
              <w:divBdr>
                <w:top w:val="none" w:sz="0" w:space="0" w:color="auto"/>
                <w:left w:val="none" w:sz="0" w:space="0" w:color="auto"/>
                <w:bottom w:val="none" w:sz="0" w:space="0" w:color="auto"/>
                <w:right w:val="none" w:sz="0" w:space="0" w:color="auto"/>
              </w:divBdr>
            </w:div>
            <w:div w:id="155462852">
              <w:marLeft w:val="0"/>
              <w:marRight w:val="0"/>
              <w:marTop w:val="0"/>
              <w:marBottom w:val="0"/>
              <w:divBdr>
                <w:top w:val="none" w:sz="0" w:space="0" w:color="auto"/>
                <w:left w:val="none" w:sz="0" w:space="0" w:color="auto"/>
                <w:bottom w:val="none" w:sz="0" w:space="0" w:color="auto"/>
                <w:right w:val="none" w:sz="0" w:space="0" w:color="auto"/>
              </w:divBdr>
            </w:div>
            <w:div w:id="336468241">
              <w:marLeft w:val="0"/>
              <w:marRight w:val="0"/>
              <w:marTop w:val="0"/>
              <w:marBottom w:val="0"/>
              <w:divBdr>
                <w:top w:val="none" w:sz="0" w:space="0" w:color="auto"/>
                <w:left w:val="none" w:sz="0" w:space="0" w:color="auto"/>
                <w:bottom w:val="none" w:sz="0" w:space="0" w:color="auto"/>
                <w:right w:val="none" w:sz="0" w:space="0" w:color="auto"/>
              </w:divBdr>
            </w:div>
            <w:div w:id="344210485">
              <w:marLeft w:val="0"/>
              <w:marRight w:val="0"/>
              <w:marTop w:val="0"/>
              <w:marBottom w:val="0"/>
              <w:divBdr>
                <w:top w:val="none" w:sz="0" w:space="0" w:color="auto"/>
                <w:left w:val="none" w:sz="0" w:space="0" w:color="auto"/>
                <w:bottom w:val="none" w:sz="0" w:space="0" w:color="auto"/>
                <w:right w:val="none" w:sz="0" w:space="0" w:color="auto"/>
              </w:divBdr>
            </w:div>
            <w:div w:id="467551983">
              <w:marLeft w:val="0"/>
              <w:marRight w:val="0"/>
              <w:marTop w:val="0"/>
              <w:marBottom w:val="0"/>
              <w:divBdr>
                <w:top w:val="none" w:sz="0" w:space="0" w:color="auto"/>
                <w:left w:val="none" w:sz="0" w:space="0" w:color="auto"/>
                <w:bottom w:val="none" w:sz="0" w:space="0" w:color="auto"/>
                <w:right w:val="none" w:sz="0" w:space="0" w:color="auto"/>
              </w:divBdr>
            </w:div>
            <w:div w:id="501774868">
              <w:marLeft w:val="0"/>
              <w:marRight w:val="0"/>
              <w:marTop w:val="0"/>
              <w:marBottom w:val="0"/>
              <w:divBdr>
                <w:top w:val="none" w:sz="0" w:space="0" w:color="auto"/>
                <w:left w:val="none" w:sz="0" w:space="0" w:color="auto"/>
                <w:bottom w:val="none" w:sz="0" w:space="0" w:color="auto"/>
                <w:right w:val="none" w:sz="0" w:space="0" w:color="auto"/>
              </w:divBdr>
            </w:div>
            <w:div w:id="632053532">
              <w:marLeft w:val="0"/>
              <w:marRight w:val="0"/>
              <w:marTop w:val="0"/>
              <w:marBottom w:val="0"/>
              <w:divBdr>
                <w:top w:val="none" w:sz="0" w:space="0" w:color="auto"/>
                <w:left w:val="none" w:sz="0" w:space="0" w:color="auto"/>
                <w:bottom w:val="none" w:sz="0" w:space="0" w:color="auto"/>
                <w:right w:val="none" w:sz="0" w:space="0" w:color="auto"/>
              </w:divBdr>
            </w:div>
            <w:div w:id="730998884">
              <w:marLeft w:val="0"/>
              <w:marRight w:val="0"/>
              <w:marTop w:val="0"/>
              <w:marBottom w:val="0"/>
              <w:divBdr>
                <w:top w:val="none" w:sz="0" w:space="0" w:color="auto"/>
                <w:left w:val="none" w:sz="0" w:space="0" w:color="auto"/>
                <w:bottom w:val="none" w:sz="0" w:space="0" w:color="auto"/>
                <w:right w:val="none" w:sz="0" w:space="0" w:color="auto"/>
              </w:divBdr>
            </w:div>
            <w:div w:id="821890308">
              <w:marLeft w:val="0"/>
              <w:marRight w:val="0"/>
              <w:marTop w:val="0"/>
              <w:marBottom w:val="0"/>
              <w:divBdr>
                <w:top w:val="none" w:sz="0" w:space="0" w:color="auto"/>
                <w:left w:val="none" w:sz="0" w:space="0" w:color="auto"/>
                <w:bottom w:val="none" w:sz="0" w:space="0" w:color="auto"/>
                <w:right w:val="none" w:sz="0" w:space="0" w:color="auto"/>
              </w:divBdr>
            </w:div>
            <w:div w:id="857357215">
              <w:marLeft w:val="0"/>
              <w:marRight w:val="0"/>
              <w:marTop w:val="0"/>
              <w:marBottom w:val="0"/>
              <w:divBdr>
                <w:top w:val="none" w:sz="0" w:space="0" w:color="auto"/>
                <w:left w:val="none" w:sz="0" w:space="0" w:color="auto"/>
                <w:bottom w:val="none" w:sz="0" w:space="0" w:color="auto"/>
                <w:right w:val="none" w:sz="0" w:space="0" w:color="auto"/>
              </w:divBdr>
            </w:div>
            <w:div w:id="893276647">
              <w:marLeft w:val="0"/>
              <w:marRight w:val="0"/>
              <w:marTop w:val="0"/>
              <w:marBottom w:val="0"/>
              <w:divBdr>
                <w:top w:val="none" w:sz="0" w:space="0" w:color="auto"/>
                <w:left w:val="none" w:sz="0" w:space="0" w:color="auto"/>
                <w:bottom w:val="none" w:sz="0" w:space="0" w:color="auto"/>
                <w:right w:val="none" w:sz="0" w:space="0" w:color="auto"/>
              </w:divBdr>
            </w:div>
            <w:div w:id="1080058097">
              <w:marLeft w:val="0"/>
              <w:marRight w:val="0"/>
              <w:marTop w:val="0"/>
              <w:marBottom w:val="0"/>
              <w:divBdr>
                <w:top w:val="none" w:sz="0" w:space="0" w:color="auto"/>
                <w:left w:val="none" w:sz="0" w:space="0" w:color="auto"/>
                <w:bottom w:val="none" w:sz="0" w:space="0" w:color="auto"/>
                <w:right w:val="none" w:sz="0" w:space="0" w:color="auto"/>
              </w:divBdr>
            </w:div>
            <w:div w:id="1201631451">
              <w:marLeft w:val="0"/>
              <w:marRight w:val="0"/>
              <w:marTop w:val="0"/>
              <w:marBottom w:val="0"/>
              <w:divBdr>
                <w:top w:val="none" w:sz="0" w:space="0" w:color="auto"/>
                <w:left w:val="none" w:sz="0" w:space="0" w:color="auto"/>
                <w:bottom w:val="none" w:sz="0" w:space="0" w:color="auto"/>
                <w:right w:val="none" w:sz="0" w:space="0" w:color="auto"/>
              </w:divBdr>
            </w:div>
            <w:div w:id="1245797851">
              <w:marLeft w:val="0"/>
              <w:marRight w:val="0"/>
              <w:marTop w:val="0"/>
              <w:marBottom w:val="0"/>
              <w:divBdr>
                <w:top w:val="none" w:sz="0" w:space="0" w:color="auto"/>
                <w:left w:val="none" w:sz="0" w:space="0" w:color="auto"/>
                <w:bottom w:val="none" w:sz="0" w:space="0" w:color="auto"/>
                <w:right w:val="none" w:sz="0" w:space="0" w:color="auto"/>
              </w:divBdr>
            </w:div>
            <w:div w:id="1272123735">
              <w:marLeft w:val="0"/>
              <w:marRight w:val="0"/>
              <w:marTop w:val="0"/>
              <w:marBottom w:val="0"/>
              <w:divBdr>
                <w:top w:val="none" w:sz="0" w:space="0" w:color="auto"/>
                <w:left w:val="none" w:sz="0" w:space="0" w:color="auto"/>
                <w:bottom w:val="none" w:sz="0" w:space="0" w:color="auto"/>
                <w:right w:val="none" w:sz="0" w:space="0" w:color="auto"/>
              </w:divBdr>
            </w:div>
            <w:div w:id="1278566756">
              <w:marLeft w:val="0"/>
              <w:marRight w:val="0"/>
              <w:marTop w:val="0"/>
              <w:marBottom w:val="0"/>
              <w:divBdr>
                <w:top w:val="none" w:sz="0" w:space="0" w:color="auto"/>
                <w:left w:val="none" w:sz="0" w:space="0" w:color="auto"/>
                <w:bottom w:val="none" w:sz="0" w:space="0" w:color="auto"/>
                <w:right w:val="none" w:sz="0" w:space="0" w:color="auto"/>
              </w:divBdr>
            </w:div>
            <w:div w:id="1306161426">
              <w:marLeft w:val="0"/>
              <w:marRight w:val="0"/>
              <w:marTop w:val="0"/>
              <w:marBottom w:val="0"/>
              <w:divBdr>
                <w:top w:val="none" w:sz="0" w:space="0" w:color="auto"/>
                <w:left w:val="none" w:sz="0" w:space="0" w:color="auto"/>
                <w:bottom w:val="none" w:sz="0" w:space="0" w:color="auto"/>
                <w:right w:val="none" w:sz="0" w:space="0" w:color="auto"/>
              </w:divBdr>
            </w:div>
            <w:div w:id="1421026364">
              <w:marLeft w:val="0"/>
              <w:marRight w:val="0"/>
              <w:marTop w:val="0"/>
              <w:marBottom w:val="0"/>
              <w:divBdr>
                <w:top w:val="none" w:sz="0" w:space="0" w:color="auto"/>
                <w:left w:val="none" w:sz="0" w:space="0" w:color="auto"/>
                <w:bottom w:val="none" w:sz="0" w:space="0" w:color="auto"/>
                <w:right w:val="none" w:sz="0" w:space="0" w:color="auto"/>
              </w:divBdr>
            </w:div>
            <w:div w:id="1433548913">
              <w:marLeft w:val="0"/>
              <w:marRight w:val="0"/>
              <w:marTop w:val="0"/>
              <w:marBottom w:val="0"/>
              <w:divBdr>
                <w:top w:val="none" w:sz="0" w:space="0" w:color="auto"/>
                <w:left w:val="none" w:sz="0" w:space="0" w:color="auto"/>
                <w:bottom w:val="none" w:sz="0" w:space="0" w:color="auto"/>
                <w:right w:val="none" w:sz="0" w:space="0" w:color="auto"/>
              </w:divBdr>
            </w:div>
            <w:div w:id="1435711834">
              <w:marLeft w:val="0"/>
              <w:marRight w:val="0"/>
              <w:marTop w:val="0"/>
              <w:marBottom w:val="0"/>
              <w:divBdr>
                <w:top w:val="none" w:sz="0" w:space="0" w:color="auto"/>
                <w:left w:val="none" w:sz="0" w:space="0" w:color="auto"/>
                <w:bottom w:val="none" w:sz="0" w:space="0" w:color="auto"/>
                <w:right w:val="none" w:sz="0" w:space="0" w:color="auto"/>
              </w:divBdr>
            </w:div>
            <w:div w:id="1552157314">
              <w:marLeft w:val="0"/>
              <w:marRight w:val="0"/>
              <w:marTop w:val="0"/>
              <w:marBottom w:val="0"/>
              <w:divBdr>
                <w:top w:val="none" w:sz="0" w:space="0" w:color="auto"/>
                <w:left w:val="none" w:sz="0" w:space="0" w:color="auto"/>
                <w:bottom w:val="none" w:sz="0" w:space="0" w:color="auto"/>
                <w:right w:val="none" w:sz="0" w:space="0" w:color="auto"/>
              </w:divBdr>
            </w:div>
            <w:div w:id="1574662638">
              <w:marLeft w:val="0"/>
              <w:marRight w:val="0"/>
              <w:marTop w:val="0"/>
              <w:marBottom w:val="0"/>
              <w:divBdr>
                <w:top w:val="none" w:sz="0" w:space="0" w:color="auto"/>
                <w:left w:val="none" w:sz="0" w:space="0" w:color="auto"/>
                <w:bottom w:val="none" w:sz="0" w:space="0" w:color="auto"/>
                <w:right w:val="none" w:sz="0" w:space="0" w:color="auto"/>
              </w:divBdr>
            </w:div>
            <w:div w:id="1631588143">
              <w:marLeft w:val="0"/>
              <w:marRight w:val="0"/>
              <w:marTop w:val="0"/>
              <w:marBottom w:val="0"/>
              <w:divBdr>
                <w:top w:val="none" w:sz="0" w:space="0" w:color="auto"/>
                <w:left w:val="none" w:sz="0" w:space="0" w:color="auto"/>
                <w:bottom w:val="none" w:sz="0" w:space="0" w:color="auto"/>
                <w:right w:val="none" w:sz="0" w:space="0" w:color="auto"/>
              </w:divBdr>
            </w:div>
            <w:div w:id="1661544132">
              <w:marLeft w:val="0"/>
              <w:marRight w:val="0"/>
              <w:marTop w:val="0"/>
              <w:marBottom w:val="0"/>
              <w:divBdr>
                <w:top w:val="none" w:sz="0" w:space="0" w:color="auto"/>
                <w:left w:val="none" w:sz="0" w:space="0" w:color="auto"/>
                <w:bottom w:val="none" w:sz="0" w:space="0" w:color="auto"/>
                <w:right w:val="none" w:sz="0" w:space="0" w:color="auto"/>
              </w:divBdr>
            </w:div>
            <w:div w:id="1885097628">
              <w:marLeft w:val="0"/>
              <w:marRight w:val="0"/>
              <w:marTop w:val="0"/>
              <w:marBottom w:val="0"/>
              <w:divBdr>
                <w:top w:val="none" w:sz="0" w:space="0" w:color="auto"/>
                <w:left w:val="none" w:sz="0" w:space="0" w:color="auto"/>
                <w:bottom w:val="none" w:sz="0" w:space="0" w:color="auto"/>
                <w:right w:val="none" w:sz="0" w:space="0" w:color="auto"/>
              </w:divBdr>
            </w:div>
            <w:div w:id="2055544260">
              <w:marLeft w:val="0"/>
              <w:marRight w:val="0"/>
              <w:marTop w:val="0"/>
              <w:marBottom w:val="0"/>
              <w:divBdr>
                <w:top w:val="none" w:sz="0" w:space="0" w:color="auto"/>
                <w:left w:val="none" w:sz="0" w:space="0" w:color="auto"/>
                <w:bottom w:val="none" w:sz="0" w:space="0" w:color="auto"/>
                <w:right w:val="none" w:sz="0" w:space="0" w:color="auto"/>
              </w:divBdr>
            </w:div>
            <w:div w:id="2064208747">
              <w:marLeft w:val="0"/>
              <w:marRight w:val="0"/>
              <w:marTop w:val="0"/>
              <w:marBottom w:val="0"/>
              <w:divBdr>
                <w:top w:val="none" w:sz="0" w:space="0" w:color="auto"/>
                <w:left w:val="none" w:sz="0" w:space="0" w:color="auto"/>
                <w:bottom w:val="none" w:sz="0" w:space="0" w:color="auto"/>
                <w:right w:val="none" w:sz="0" w:space="0" w:color="auto"/>
              </w:divBdr>
            </w:div>
            <w:div w:id="20858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9748">
      <w:bodyDiv w:val="1"/>
      <w:marLeft w:val="0"/>
      <w:marRight w:val="0"/>
      <w:marTop w:val="0"/>
      <w:marBottom w:val="0"/>
      <w:divBdr>
        <w:top w:val="none" w:sz="0" w:space="0" w:color="auto"/>
        <w:left w:val="none" w:sz="0" w:space="0" w:color="auto"/>
        <w:bottom w:val="none" w:sz="0" w:space="0" w:color="auto"/>
        <w:right w:val="none" w:sz="0" w:space="0" w:color="auto"/>
      </w:divBdr>
    </w:div>
    <w:div w:id="1539388791">
      <w:bodyDiv w:val="1"/>
      <w:marLeft w:val="0"/>
      <w:marRight w:val="0"/>
      <w:marTop w:val="0"/>
      <w:marBottom w:val="0"/>
      <w:divBdr>
        <w:top w:val="none" w:sz="0" w:space="0" w:color="auto"/>
        <w:left w:val="none" w:sz="0" w:space="0" w:color="auto"/>
        <w:bottom w:val="none" w:sz="0" w:space="0" w:color="auto"/>
        <w:right w:val="none" w:sz="0" w:space="0" w:color="auto"/>
      </w:divBdr>
    </w:div>
    <w:div w:id="1621304532">
      <w:bodyDiv w:val="1"/>
      <w:marLeft w:val="0"/>
      <w:marRight w:val="0"/>
      <w:marTop w:val="0"/>
      <w:marBottom w:val="0"/>
      <w:divBdr>
        <w:top w:val="none" w:sz="0" w:space="0" w:color="auto"/>
        <w:left w:val="none" w:sz="0" w:space="0" w:color="auto"/>
        <w:bottom w:val="none" w:sz="0" w:space="0" w:color="auto"/>
        <w:right w:val="none" w:sz="0" w:space="0" w:color="auto"/>
      </w:divBdr>
    </w:div>
    <w:div w:id="1646473394">
      <w:bodyDiv w:val="1"/>
      <w:marLeft w:val="0"/>
      <w:marRight w:val="0"/>
      <w:marTop w:val="0"/>
      <w:marBottom w:val="0"/>
      <w:divBdr>
        <w:top w:val="none" w:sz="0" w:space="0" w:color="auto"/>
        <w:left w:val="none" w:sz="0" w:space="0" w:color="auto"/>
        <w:bottom w:val="none" w:sz="0" w:space="0" w:color="auto"/>
        <w:right w:val="none" w:sz="0" w:space="0" w:color="auto"/>
      </w:divBdr>
    </w:div>
    <w:div w:id="1749768554">
      <w:bodyDiv w:val="1"/>
      <w:marLeft w:val="0"/>
      <w:marRight w:val="0"/>
      <w:marTop w:val="0"/>
      <w:marBottom w:val="0"/>
      <w:divBdr>
        <w:top w:val="none" w:sz="0" w:space="0" w:color="auto"/>
        <w:left w:val="none" w:sz="0" w:space="0" w:color="auto"/>
        <w:bottom w:val="none" w:sz="0" w:space="0" w:color="auto"/>
        <w:right w:val="none" w:sz="0" w:space="0" w:color="auto"/>
      </w:divBdr>
    </w:div>
    <w:div w:id="1789659993">
      <w:bodyDiv w:val="1"/>
      <w:marLeft w:val="0"/>
      <w:marRight w:val="0"/>
      <w:marTop w:val="0"/>
      <w:marBottom w:val="0"/>
      <w:divBdr>
        <w:top w:val="none" w:sz="0" w:space="0" w:color="auto"/>
        <w:left w:val="none" w:sz="0" w:space="0" w:color="auto"/>
        <w:bottom w:val="none" w:sz="0" w:space="0" w:color="auto"/>
        <w:right w:val="none" w:sz="0" w:space="0" w:color="auto"/>
      </w:divBdr>
    </w:div>
    <w:div w:id="1838493192">
      <w:bodyDiv w:val="1"/>
      <w:marLeft w:val="0"/>
      <w:marRight w:val="0"/>
      <w:marTop w:val="0"/>
      <w:marBottom w:val="0"/>
      <w:divBdr>
        <w:top w:val="none" w:sz="0" w:space="0" w:color="auto"/>
        <w:left w:val="none" w:sz="0" w:space="0" w:color="auto"/>
        <w:bottom w:val="none" w:sz="0" w:space="0" w:color="auto"/>
        <w:right w:val="none" w:sz="0" w:space="0" w:color="auto"/>
      </w:divBdr>
    </w:div>
    <w:div w:id="1856652622">
      <w:bodyDiv w:val="1"/>
      <w:marLeft w:val="0"/>
      <w:marRight w:val="0"/>
      <w:marTop w:val="0"/>
      <w:marBottom w:val="0"/>
      <w:divBdr>
        <w:top w:val="none" w:sz="0" w:space="0" w:color="auto"/>
        <w:left w:val="none" w:sz="0" w:space="0" w:color="auto"/>
        <w:bottom w:val="none" w:sz="0" w:space="0" w:color="auto"/>
        <w:right w:val="none" w:sz="0" w:space="0" w:color="auto"/>
      </w:divBdr>
    </w:div>
    <w:div w:id="1875147703">
      <w:bodyDiv w:val="1"/>
      <w:marLeft w:val="0"/>
      <w:marRight w:val="0"/>
      <w:marTop w:val="0"/>
      <w:marBottom w:val="0"/>
      <w:divBdr>
        <w:top w:val="none" w:sz="0" w:space="0" w:color="auto"/>
        <w:left w:val="none" w:sz="0" w:space="0" w:color="auto"/>
        <w:bottom w:val="none" w:sz="0" w:space="0" w:color="auto"/>
        <w:right w:val="none" w:sz="0" w:space="0" w:color="auto"/>
      </w:divBdr>
    </w:div>
    <w:div w:id="1919516009">
      <w:bodyDiv w:val="1"/>
      <w:marLeft w:val="0"/>
      <w:marRight w:val="0"/>
      <w:marTop w:val="0"/>
      <w:marBottom w:val="0"/>
      <w:divBdr>
        <w:top w:val="none" w:sz="0" w:space="0" w:color="auto"/>
        <w:left w:val="none" w:sz="0" w:space="0" w:color="auto"/>
        <w:bottom w:val="none" w:sz="0" w:space="0" w:color="auto"/>
        <w:right w:val="none" w:sz="0" w:space="0" w:color="auto"/>
      </w:divBdr>
      <w:divsChild>
        <w:div w:id="956523877">
          <w:marLeft w:val="0"/>
          <w:marRight w:val="0"/>
          <w:marTop w:val="0"/>
          <w:marBottom w:val="0"/>
          <w:divBdr>
            <w:top w:val="none" w:sz="0" w:space="0" w:color="auto"/>
            <w:left w:val="none" w:sz="0" w:space="0" w:color="auto"/>
            <w:bottom w:val="none" w:sz="0" w:space="0" w:color="auto"/>
            <w:right w:val="none" w:sz="0" w:space="0" w:color="auto"/>
          </w:divBdr>
        </w:div>
      </w:divsChild>
    </w:div>
    <w:div w:id="1998148442">
      <w:bodyDiv w:val="1"/>
      <w:marLeft w:val="0"/>
      <w:marRight w:val="0"/>
      <w:marTop w:val="0"/>
      <w:marBottom w:val="0"/>
      <w:divBdr>
        <w:top w:val="none" w:sz="0" w:space="0" w:color="auto"/>
        <w:left w:val="none" w:sz="0" w:space="0" w:color="auto"/>
        <w:bottom w:val="none" w:sz="0" w:space="0" w:color="auto"/>
        <w:right w:val="none" w:sz="0" w:space="0" w:color="auto"/>
      </w:divBdr>
    </w:div>
    <w:div w:id="2003852719">
      <w:bodyDiv w:val="1"/>
      <w:marLeft w:val="0"/>
      <w:marRight w:val="0"/>
      <w:marTop w:val="0"/>
      <w:marBottom w:val="0"/>
      <w:divBdr>
        <w:top w:val="none" w:sz="0" w:space="0" w:color="auto"/>
        <w:left w:val="none" w:sz="0" w:space="0" w:color="auto"/>
        <w:bottom w:val="none" w:sz="0" w:space="0" w:color="auto"/>
        <w:right w:val="none" w:sz="0" w:space="0" w:color="auto"/>
      </w:divBdr>
      <w:divsChild>
        <w:div w:id="1188981607">
          <w:marLeft w:val="0"/>
          <w:marRight w:val="0"/>
          <w:marTop w:val="0"/>
          <w:marBottom w:val="0"/>
          <w:divBdr>
            <w:top w:val="none" w:sz="0" w:space="0" w:color="auto"/>
            <w:left w:val="none" w:sz="0" w:space="0" w:color="auto"/>
            <w:bottom w:val="none" w:sz="0" w:space="0" w:color="auto"/>
            <w:right w:val="none" w:sz="0" w:space="0" w:color="auto"/>
          </w:divBdr>
          <w:divsChild>
            <w:div w:id="2051690083">
              <w:marLeft w:val="0"/>
              <w:marRight w:val="0"/>
              <w:marTop w:val="0"/>
              <w:marBottom w:val="0"/>
              <w:divBdr>
                <w:top w:val="none" w:sz="0" w:space="0" w:color="auto"/>
                <w:left w:val="none" w:sz="0" w:space="0" w:color="auto"/>
                <w:bottom w:val="none" w:sz="0" w:space="0" w:color="auto"/>
                <w:right w:val="none" w:sz="0" w:space="0" w:color="auto"/>
              </w:divBdr>
              <w:divsChild>
                <w:div w:id="632104138">
                  <w:marLeft w:val="0"/>
                  <w:marRight w:val="0"/>
                  <w:marTop w:val="0"/>
                  <w:marBottom w:val="0"/>
                  <w:divBdr>
                    <w:top w:val="none" w:sz="0" w:space="0" w:color="auto"/>
                    <w:left w:val="none" w:sz="0" w:space="0" w:color="auto"/>
                    <w:bottom w:val="none" w:sz="0" w:space="0" w:color="auto"/>
                    <w:right w:val="none" w:sz="0" w:space="0" w:color="auto"/>
                  </w:divBdr>
                  <w:divsChild>
                    <w:div w:id="163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4031">
      <w:bodyDiv w:val="1"/>
      <w:marLeft w:val="0"/>
      <w:marRight w:val="0"/>
      <w:marTop w:val="0"/>
      <w:marBottom w:val="0"/>
      <w:divBdr>
        <w:top w:val="none" w:sz="0" w:space="0" w:color="auto"/>
        <w:left w:val="none" w:sz="0" w:space="0" w:color="auto"/>
        <w:bottom w:val="none" w:sz="0" w:space="0" w:color="auto"/>
        <w:right w:val="none" w:sz="0" w:space="0" w:color="auto"/>
      </w:divBdr>
    </w:div>
    <w:div w:id="2099476057">
      <w:bodyDiv w:val="1"/>
      <w:marLeft w:val="0"/>
      <w:marRight w:val="0"/>
      <w:marTop w:val="0"/>
      <w:marBottom w:val="0"/>
      <w:divBdr>
        <w:top w:val="none" w:sz="0" w:space="0" w:color="auto"/>
        <w:left w:val="none" w:sz="0" w:space="0" w:color="auto"/>
        <w:bottom w:val="none" w:sz="0" w:space="0" w:color="auto"/>
        <w:right w:val="none" w:sz="0" w:space="0" w:color="auto"/>
      </w:divBdr>
    </w:div>
    <w:div w:id="21225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osone.org/article/fetchObject.action?uri=info:doi/10.1371/journal.pone.0111096&amp;representa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lobalissues/briefingpapers/endviol/" TargetMode="External"/><Relationship Id="rId1" Type="http://schemas.openxmlformats.org/officeDocument/2006/relationships/hyperlink" Target="mailto:Gudrun@prio.n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cat>
            <c:strRef>
              <c:f>Sheet1!$A$15:$A$19</c:f>
              <c:strCache>
                <c:ptCount val="5"/>
                <c:pt idx="0">
                  <c:v>Much worse</c:v>
                </c:pt>
                <c:pt idx="1">
                  <c:v>Worse</c:v>
                </c:pt>
                <c:pt idx="2">
                  <c:v>Same</c:v>
                </c:pt>
                <c:pt idx="3">
                  <c:v>Better</c:v>
                </c:pt>
                <c:pt idx="4">
                  <c:v>Much better</c:v>
                </c:pt>
              </c:strCache>
            </c:strRef>
          </c:cat>
          <c:val>
            <c:numRef>
              <c:f>Sheet1!$B$15:$B$19</c:f>
              <c:numCache>
                <c:formatCode>General</c:formatCode>
                <c:ptCount val="5"/>
                <c:pt idx="0">
                  <c:v>3.79</c:v>
                </c:pt>
                <c:pt idx="1">
                  <c:v>21.45</c:v>
                </c:pt>
                <c:pt idx="2">
                  <c:v>14.56</c:v>
                </c:pt>
                <c:pt idx="3">
                  <c:v>55.12</c:v>
                </c:pt>
                <c:pt idx="4">
                  <c:v>5.08</c:v>
                </c:pt>
              </c:numCache>
            </c:numRef>
          </c:val>
          <c:extLst>
            <c:ext xmlns:c16="http://schemas.microsoft.com/office/drawing/2014/chart" uri="{C3380CC4-5D6E-409C-BE32-E72D297353CC}">
              <c16:uniqueId val="{00000000-AB86-442B-9013-6EDE5CF1827C}"/>
            </c:ext>
          </c:extLst>
        </c:ser>
        <c:dLbls>
          <c:showLegendKey val="0"/>
          <c:showVal val="0"/>
          <c:showCatName val="0"/>
          <c:showSerName val="0"/>
          <c:showPercent val="0"/>
          <c:showBubbleSize val="0"/>
        </c:dLbls>
        <c:gapWidth val="150"/>
        <c:axId val="140811264"/>
        <c:axId val="177461120"/>
      </c:barChart>
      <c:catAx>
        <c:axId val="140811264"/>
        <c:scaling>
          <c:orientation val="minMax"/>
        </c:scaling>
        <c:delete val="0"/>
        <c:axPos val="b"/>
        <c:title>
          <c:tx>
            <c:rich>
              <a:bodyPr/>
              <a:lstStyle/>
              <a:p>
                <a:pPr>
                  <a:defRPr/>
                </a:pPr>
                <a:r>
                  <a:rPr lang="nb-NO"/>
                  <a:t>Perceived</a:t>
                </a:r>
                <a:r>
                  <a:rPr lang="nb-NO" baseline="0"/>
                  <a:t> improved economic wellbeing</a:t>
                </a:r>
                <a:endParaRPr lang="nb-NO"/>
              </a:p>
            </c:rich>
          </c:tx>
          <c:overlay val="0"/>
        </c:title>
        <c:numFmt formatCode="General" sourceLinked="1"/>
        <c:majorTickMark val="out"/>
        <c:minorTickMark val="none"/>
        <c:tickLblPos val="nextTo"/>
        <c:crossAx val="177461120"/>
        <c:crosses val="autoZero"/>
        <c:auto val="1"/>
        <c:lblAlgn val="ctr"/>
        <c:lblOffset val="100"/>
        <c:noMultiLvlLbl val="0"/>
      </c:catAx>
      <c:valAx>
        <c:axId val="177461120"/>
        <c:scaling>
          <c:orientation val="minMax"/>
        </c:scaling>
        <c:delete val="0"/>
        <c:axPos val="l"/>
        <c:majorGridlines/>
        <c:title>
          <c:tx>
            <c:rich>
              <a:bodyPr rot="0" vert="wordArtVert"/>
              <a:lstStyle/>
              <a:p>
                <a:pPr>
                  <a:defRPr/>
                </a:pPr>
                <a:r>
                  <a:rPr lang="nb-NO"/>
                  <a:t>%</a:t>
                </a:r>
              </a:p>
            </c:rich>
          </c:tx>
          <c:overlay val="0"/>
        </c:title>
        <c:numFmt formatCode="General" sourceLinked="1"/>
        <c:majorTickMark val="out"/>
        <c:minorTickMark val="none"/>
        <c:tickLblPos val="nextTo"/>
        <c:crossAx val="140811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4751-4D07-45C1-A846-EBB06245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44445</CharactersWithSpaces>
  <SharedDoc>false</SharedDoc>
  <HLinks>
    <vt:vector size="24" baseType="variant">
      <vt:variant>
        <vt:i4>3473451</vt:i4>
      </vt:variant>
      <vt:variant>
        <vt:i4>12</vt:i4>
      </vt:variant>
      <vt:variant>
        <vt:i4>0</vt:i4>
      </vt:variant>
      <vt:variant>
        <vt:i4>5</vt:i4>
      </vt:variant>
      <vt:variant>
        <vt:lpwstr>http://www.prio.no/CSCW/Datasets/Economic-and-Socio-Demographic/Urban-Social-Disturbance-in-Africa-and-Asia</vt:lpwstr>
      </vt:variant>
      <vt:variant>
        <vt:lpwstr/>
      </vt:variant>
      <vt:variant>
        <vt:i4>589894</vt:i4>
      </vt:variant>
      <vt:variant>
        <vt:i4>9</vt:i4>
      </vt:variant>
      <vt:variant>
        <vt:i4>0</vt:i4>
      </vt:variant>
      <vt:variant>
        <vt:i4>5</vt:i4>
      </vt:variant>
      <vt:variant>
        <vt:lpwstr>http://ww2.unhabitat.org/programmes/guo/</vt:lpwstr>
      </vt:variant>
      <vt:variant>
        <vt:lpwstr/>
      </vt:variant>
      <vt:variant>
        <vt:i4>5898249</vt:i4>
      </vt:variant>
      <vt:variant>
        <vt:i4>6</vt:i4>
      </vt:variant>
      <vt:variant>
        <vt:i4>0</vt:i4>
      </vt:variant>
      <vt:variant>
        <vt:i4>5</vt:i4>
      </vt:variant>
      <vt:variant>
        <vt:lpwstr>http://www3.interscience.wiley.com/journal/122437384/abstract</vt:lpwstr>
      </vt:variant>
      <vt:variant>
        <vt:lpwstr/>
      </vt:variant>
      <vt:variant>
        <vt:i4>1638448</vt:i4>
      </vt:variant>
      <vt:variant>
        <vt:i4>0</vt:i4>
      </vt:variant>
      <vt:variant>
        <vt:i4>0</vt:i4>
      </vt:variant>
      <vt:variant>
        <vt:i4>5</vt:i4>
      </vt:variant>
      <vt:variant>
        <vt:lpwstr>mailto:gudrun.ostby@stv.uio.no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gudruno</dc:creator>
  <cp:lastModifiedBy>Gudrun Østby</cp:lastModifiedBy>
  <cp:revision>2</cp:revision>
  <cp:lastPrinted>2016-07-22T09:40:00Z</cp:lastPrinted>
  <dcterms:created xsi:type="dcterms:W3CDTF">2016-12-07T17:47:00Z</dcterms:created>
  <dcterms:modified xsi:type="dcterms:W3CDTF">2016-12-07T17:47:00Z</dcterms:modified>
</cp:coreProperties>
</file>